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proofErr w:type="spellStart"/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  <w:proofErr w:type="spellEnd"/>
    </w:p>
    <w:p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bookmarkStart w:id="0" w:name="_GoBack"/>
      <w:bookmarkEnd w:id="0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Детский травматизм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большая проблема, которая в корне может изменить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родителей, так и ребенка.</w:t>
      </w:r>
    </w:p>
    <w:p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различных инфекций.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страшного не может произойти в конкретных случаях.</w:t>
      </w:r>
    </w:p>
    <w:p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образом исполняют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уровень детского травматизма большое влияние оказывает и дисциплинированность самих детей. </w:t>
      </w:r>
    </w:p>
    <w:p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>
        <w:rPr>
          <w:rFonts w:ascii="Times New Roman" w:eastAsia="Times New Roman" w:hAnsi="Times New Roman" w:cs="Times New Roman"/>
          <w:sz w:val="28"/>
          <w:szCs w:val="28"/>
        </w:rPr>
        <w:t>Павло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>дарской области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:rsidR="00C644C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 w:rsidRPr="00AA6F38">
        <w:rPr>
          <w:rFonts w:ascii="Times New Roman" w:eastAsia="Times New Roman" w:hAnsi="Times New Roman" w:cs="Times New Roman"/>
          <w:b/>
          <w:bCs/>
          <w:sz w:val="36"/>
          <w:szCs w:val="36"/>
        </w:rPr>
        <w:t>пасный ток</w:t>
      </w:r>
    </w:p>
    <w:p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,нужно разобраться в причинах поражения электрическим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>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любой бытовой прибор может быть смертельно опасен.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уже могут быть смертельны! </w:t>
      </w:r>
    </w:p>
    <w:p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затрудняется и полностью перестает при силе тока около 100 мА.</w:t>
      </w:r>
    </w:p>
    <w:p w:rsidR="00E2379B" w:rsidRPr="003A059A" w:rsidRDefault="00E2379B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  <w:proofErr w:type="spellEnd"/>
    </w:p>
    <w:p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Выше мы говорили о причинах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неблагоустроенность</w:t>
      </w:r>
      <w:proofErr w:type="spellEnd"/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 xml:space="preserve">возможности получения </w:t>
      </w:r>
      <w:proofErr w:type="spellStart"/>
      <w:r w:rsidR="0014753E">
        <w:rPr>
          <w:rFonts w:ascii="Times New Roman" w:eastAsia="Times New Roman" w:hAnsi="Times New Roman" w:cs="Times New Roman"/>
          <w:sz w:val="28"/>
          <w:szCs w:val="28"/>
        </w:rPr>
        <w:t>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proofErr w:type="spellEnd"/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Регулярноепроведение занятий для детей по основным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методампредупреждения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детских </w:t>
      </w:r>
      <w:proofErr w:type="spellStart"/>
      <w:r w:rsidR="008A71B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="008A7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электроустановкам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нной близости мест проживания,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</w:p>
    <w:p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Нельзя подходить и прикасаться к трансформаторным и распределительным подстанциям, заходить внутрь их, а также залезать на крышу;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оголенным проводам кабельных и воздушных линии электропередач;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касаться оголенных проводов, по которым идет электрический ток;</w:t>
      </w:r>
    </w:p>
    <w:p w:rsidR="003A059A" w:rsidRPr="003A059A" w:rsidRDefault="003A059A" w:rsidP="003A05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Нельзя проверять наличие электрического тока в приборах или проводах пальцами;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Нельзя позволять детям играть у розеток, втыкать в них шпильки, булавки, дергать провода, так как это может привести к поражению током;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:rsidR="00584300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включенные электроприборы без надзора или поручать наблюдать за ними детям. </w:t>
      </w:r>
    </w:p>
    <w:p w:rsidR="00897BB0" w:rsidRPr="00E2379B" w:rsidRDefault="00D01756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6360" cy="5316279"/>
            <wp:effectExtent l="0" t="0" r="0" b="0"/>
            <wp:docPr id="3" name="Рисунок 1" descr="C:\Users\User\AppData\Local\Microsoft\Windows\INetCache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64" cy="53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5666DC" w:rsidRPr="005666DC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по Павлодарской области</w:t>
      </w:r>
    </w:p>
    <w:p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2379B"/>
    <w:rsid w:val="000A5F74"/>
    <w:rsid w:val="0014753E"/>
    <w:rsid w:val="0028123D"/>
    <w:rsid w:val="002F39B0"/>
    <w:rsid w:val="00323CA4"/>
    <w:rsid w:val="00356704"/>
    <w:rsid w:val="003A059A"/>
    <w:rsid w:val="00555297"/>
    <w:rsid w:val="005666DC"/>
    <w:rsid w:val="00584300"/>
    <w:rsid w:val="00593D49"/>
    <w:rsid w:val="005B60E1"/>
    <w:rsid w:val="0065013C"/>
    <w:rsid w:val="006F4A73"/>
    <w:rsid w:val="00701D03"/>
    <w:rsid w:val="00897BB0"/>
    <w:rsid w:val="008A71BE"/>
    <w:rsid w:val="00BE1A3E"/>
    <w:rsid w:val="00C016E1"/>
    <w:rsid w:val="00C644CB"/>
    <w:rsid w:val="00D01756"/>
    <w:rsid w:val="00D3020C"/>
    <w:rsid w:val="00D451E0"/>
    <w:rsid w:val="00DB5D90"/>
    <w:rsid w:val="00E2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2020-04-27T12:25:00Z</cp:lastPrinted>
  <dcterms:created xsi:type="dcterms:W3CDTF">2020-04-30T11:09:00Z</dcterms:created>
  <dcterms:modified xsi:type="dcterms:W3CDTF">2020-04-30T11:09:00Z</dcterms:modified>
</cp:coreProperties>
</file>