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3634"/>
        <w:gridCol w:w="1984"/>
        <w:gridCol w:w="2158"/>
        <w:gridCol w:w="2672"/>
      </w:tblGrid>
      <w:tr w:rsidR="006D73A5" w:rsidRPr="006D73A5" w:rsidTr="00B26198">
        <w:trPr>
          <w:tblCellSpacing w:w="15" w:type="dxa"/>
        </w:trPr>
        <w:tc>
          <w:tcPr>
            <w:tcW w:w="10856" w:type="dxa"/>
            <w:gridSpan w:val="5"/>
            <w:vAlign w:val="center"/>
            <w:hideMark/>
          </w:tcPr>
          <w:p w:rsidR="006D73A5" w:rsidRPr="006D73A5" w:rsidRDefault="006D73A5" w:rsidP="006D73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Работа с одаренными детьми.</w:t>
            </w:r>
          </w:p>
        </w:tc>
      </w:tr>
      <w:tr w:rsidR="006D73A5" w:rsidRPr="006D73A5" w:rsidTr="00B26198">
        <w:trPr>
          <w:tblCellSpacing w:w="15" w:type="dxa"/>
        </w:trPr>
        <w:tc>
          <w:tcPr>
            <w:tcW w:w="10856" w:type="dxa"/>
            <w:gridSpan w:val="5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Цель:</w:t>
            </w: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выявление одаренных детей и создание условий, способствующих их оптимальному развитию.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Составление плана работы по подготовке к различным олимпиадам, интеллектуальным конкурсам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</w:t>
            </w:r>
            <w:proofErr w:type="gram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gram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ПО Сулейман Р.Т.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Организация олимпийской команды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Разработка плана реализации программы работы с одаренными детьми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Директор школы, Заместители директора по УР, рабочая группа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План реализации программы.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Заседание НОУ. Знакомство. Определение целей и заседание НОУ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ЗД УВР 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Распределение обязанностей членов НОУ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Заседание НОУ. Выбор и формулировка темы. Культура умственного труда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ЗД УВР 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Выбор темы. Библиографическая работа.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Цели и содержание исследовательской работы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ЗД УВР 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Определение целей исследовательской работы.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Библиографическая работа. Составление списка литературы. Библиографическое описание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ЗД УВР 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Список литературы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Отбор и систематизация материала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ЗД УВР 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З.К.руководители проектов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План исследований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Работа над черновиком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УВР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Систематизация материала.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Правила оформления научной работы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УВР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Текст научной работы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Подготовка к публичному выступлению на школьной научной конференции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УВР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Текст речи, ораторское искусство.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Выступление обучающихся и обсуждение работ на заседании НОУ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УВР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Отчет по исследовательской деятельности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Выступление членов НОУ на школьной научной конференции «Проблемы. Поиски. Решения»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УВР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З.К.,руководители</w:t>
            </w:r>
            <w:proofErr w:type="spellEnd"/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Выявление и поддержка одаренных детей.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Участие НОУ в научно-практической конференции разного уровня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УВР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 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Уровень владения навыками исследовательской деятельности.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Подготовка и проведение школьных олимпиад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Октябрь- ноябрь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по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Сулейман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>Р.Т.,Руководители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МО, предметники</w:t>
            </w:r>
            <w:proofErr w:type="gramEnd"/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 xml:space="preserve">Выявление и поддержка одаренных </w:t>
            </w: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>детей.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Составление заявок на участие в городских олимпиадах.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</w:t>
            </w:r>
            <w:proofErr w:type="gram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gram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Сулейман Р.Т.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Определении</w:t>
            </w:r>
            <w:proofErr w:type="gram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участников районных олимпиад.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Определение рейтинга школы по результатам городских олимпиад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  </w:t>
            </w:r>
            <w:proofErr w:type="gram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gram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Сулейман Р.Т.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Определение уровня подготовки учащихся.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Работа с учащимися, обучающимися на «отлично»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Выявление и поддержка одаренных детей.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Проведение интеллектуальных марафонов в рамках предметных недель.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Руководители  МО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Выявление и поддержка одаренных детей.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Проведение интеллектуальных марафонов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</w:t>
            </w:r>
            <w:proofErr w:type="gram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gram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ПО Сулейман Р.Т.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Выявление и поддержка одаренных детей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Обеспечение участия школьников в конкурсах различного уровня, в том числе телекоммуникационных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ЗД </w:t>
            </w:r>
            <w:proofErr w:type="gram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</w:t>
            </w:r>
            <w:proofErr w:type="gram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ПО Сулейман Р.Т.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Поддержка талантливых детей</w:t>
            </w:r>
          </w:p>
        </w:tc>
      </w:tr>
      <w:tr w:rsidR="00B26198" w:rsidRPr="006D73A5" w:rsidTr="00B26198">
        <w:trPr>
          <w:tblCellSpacing w:w="15" w:type="dxa"/>
        </w:trPr>
        <w:tc>
          <w:tcPr>
            <w:tcW w:w="423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0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Диагностика потенциальных возможностей детей с использованием ресурсов психологической службы</w:t>
            </w:r>
          </w:p>
        </w:tc>
        <w:tc>
          <w:tcPr>
            <w:tcW w:w="1954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По плану работы психологической службы</w:t>
            </w:r>
          </w:p>
        </w:tc>
        <w:tc>
          <w:tcPr>
            <w:tcW w:w="2128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Баильдинова</w:t>
            </w:r>
            <w:proofErr w:type="spellEnd"/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627" w:type="dxa"/>
            <w:vAlign w:val="center"/>
            <w:hideMark/>
          </w:tcPr>
          <w:p w:rsidR="006D73A5" w:rsidRPr="006D73A5" w:rsidRDefault="006D73A5" w:rsidP="006D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3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Выявление талантливых детей</w:t>
            </w:r>
          </w:p>
        </w:tc>
      </w:tr>
    </w:tbl>
    <w:p w:rsidR="00E43686" w:rsidRDefault="00E43686"/>
    <w:sectPr w:rsidR="00E43686" w:rsidSect="00E4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3A5"/>
    <w:rsid w:val="006D73A5"/>
    <w:rsid w:val="00B26198"/>
    <w:rsid w:val="00E4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np300</dc:creator>
  <cp:lastModifiedBy>np300</cp:lastModifiedBy>
  <cp:revision>1</cp:revision>
  <dcterms:created xsi:type="dcterms:W3CDTF">2017-01-24T13:24:00Z</dcterms:created>
  <dcterms:modified xsi:type="dcterms:W3CDTF">2017-01-24T14:33:00Z</dcterms:modified>
</cp:coreProperties>
</file>