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FB" w:rsidRPr="003B7BFB" w:rsidRDefault="003B7BFB" w:rsidP="003B7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Рекомендации летнего чтения</w:t>
      </w:r>
    </w:p>
    <w:p w:rsidR="004C7BDB" w:rsidRPr="003B7BFB" w:rsidRDefault="003B7BFB" w:rsidP="003B7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для учащихся 8 класса</w:t>
      </w:r>
    </w:p>
    <w:p w:rsidR="003B7BFB" w:rsidRPr="003B7BFB" w:rsidRDefault="003B7BFB" w:rsidP="003B7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BFB" w:rsidRPr="003B7BFB" w:rsidRDefault="003B7BFB" w:rsidP="003B7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BFB">
        <w:rPr>
          <w:rFonts w:ascii="Times New Roman" w:hAnsi="Times New Roman" w:cs="Times New Roman"/>
          <w:b/>
          <w:sz w:val="28"/>
          <w:szCs w:val="28"/>
        </w:rPr>
        <w:t xml:space="preserve">Произведения для изучения: 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А.С.Грибоедов. «Горе от ума»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А.С.Пушкин. Лирика. Повесть «Пиковая дама»; роман «Евгений Онегин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М.Ю.Лермонтов Роман «Герой нашего времени»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Н.В.Гоголь. «Мертвые души»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И.С.Тургенев. «Вешние воды», «Отцы и дети»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Н.Г.Чернышевский. «Что делать?»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И.А.Гончаров. «Обыкновенная история», «Обломов»</w:t>
      </w:r>
    </w:p>
    <w:p w:rsid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BFB">
        <w:rPr>
          <w:rFonts w:ascii="Times New Roman" w:hAnsi="Times New Roman" w:cs="Times New Roman"/>
          <w:b/>
          <w:sz w:val="28"/>
          <w:szCs w:val="28"/>
        </w:rPr>
        <w:t xml:space="preserve">Произведения для внеклассного чтения 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А.С.Пушкин. Стихотворения. «Каменный гость», «Пир во время чумы».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М.Ю.Лермонтов. Стихотворения. «Княгиня Литовская».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Н.В.Гоголь. «Старосветские помещики».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 xml:space="preserve">И.С.Тургенев. «Рудин», «Дворянское гнездо», «Накануне», «Первая любовь», «Гамлет </w:t>
      </w:r>
      <w:proofErr w:type="spellStart"/>
      <w:r w:rsidRPr="003B7BFB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3B7BFB">
        <w:rPr>
          <w:rFonts w:ascii="Times New Roman" w:hAnsi="Times New Roman" w:cs="Times New Roman"/>
          <w:sz w:val="28"/>
          <w:szCs w:val="28"/>
        </w:rPr>
        <w:t xml:space="preserve"> уезда».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И.А.Гончаров. «Обрыв».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 xml:space="preserve">Ю.Н.Тынянов. «Смерть </w:t>
      </w:r>
      <w:proofErr w:type="spellStart"/>
      <w:r w:rsidRPr="003B7BFB">
        <w:rPr>
          <w:rFonts w:ascii="Times New Roman" w:hAnsi="Times New Roman" w:cs="Times New Roman"/>
          <w:sz w:val="28"/>
          <w:szCs w:val="28"/>
        </w:rPr>
        <w:t>Вазир-Мухтара</w:t>
      </w:r>
      <w:proofErr w:type="spellEnd"/>
      <w:r w:rsidRPr="003B7BFB">
        <w:rPr>
          <w:rFonts w:ascii="Times New Roman" w:hAnsi="Times New Roman" w:cs="Times New Roman"/>
          <w:sz w:val="28"/>
          <w:szCs w:val="28"/>
        </w:rPr>
        <w:t>», «Кюхля», «Пушкин».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Вс. Рождественский. «Болдинская осень».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В.В.Набоков. «Дар».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С.Довлатов. «Иностранка», «Чемодан».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Гомер. «Одиссея».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Данте. «Божественная комедия».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Д.Байрон. «Дон Жуан».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П.Мериме. «Хроника Карла IX».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В.Гюго. «Собор Парижской Богоматери».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О.Бальзак. «Гобсек», «Шагреневая кожа».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А.Мюссе. «Исповедь сына века».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Стендаль. «Красное и черное».</w:t>
      </w:r>
    </w:p>
    <w:p w:rsidR="003B7BFB" w:rsidRPr="003B7BFB" w:rsidRDefault="003B7BFB" w:rsidP="003B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BFB">
        <w:rPr>
          <w:rFonts w:ascii="Times New Roman" w:hAnsi="Times New Roman" w:cs="Times New Roman"/>
          <w:sz w:val="28"/>
          <w:szCs w:val="28"/>
        </w:rPr>
        <w:t>О. Уайльд. «Портрет Дориана Грея».</w:t>
      </w:r>
    </w:p>
    <w:sectPr w:rsidR="003B7BFB" w:rsidRPr="003B7BFB" w:rsidSect="004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7BFB"/>
    <w:rsid w:val="003B7BFB"/>
    <w:rsid w:val="004C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Company>MultiDVD Team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Сухарь</dc:creator>
  <cp:keywords/>
  <dc:description/>
  <cp:lastModifiedBy>Сухарь</cp:lastModifiedBy>
  <cp:revision>3</cp:revision>
  <dcterms:created xsi:type="dcterms:W3CDTF">2013-05-21T03:29:00Z</dcterms:created>
  <dcterms:modified xsi:type="dcterms:W3CDTF">2013-05-21T03:36:00Z</dcterms:modified>
</cp:coreProperties>
</file>