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72" w:rsidRPr="003E47CC" w:rsidRDefault="003E47CC" w:rsidP="009A2C72">
      <w:pP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</w:t>
      </w:r>
      <w:r w:rsidR="009A2C72" w:rsidRPr="003E47CC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</w:t>
      </w:r>
      <w: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           </w:t>
      </w:r>
      <w: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Бекітемін</w:t>
      </w:r>
    </w:p>
    <w:p w:rsidR="009A2C72" w:rsidRPr="003E47CC" w:rsidRDefault="003E47CC" w:rsidP="009A2C72">
      <w:pPr>
        <w:rPr>
          <w:rFonts w:ascii="Times New Roman" w:eastAsia="+mj-ea" w:hAnsi="Times New Roman" w:cs="Times New Roman"/>
          <w:b/>
          <w:color w:val="000000" w:themeColor="text1"/>
          <w:sz w:val="52"/>
          <w:szCs w:val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Мектеп директоры</w:t>
      </w:r>
      <w:r w:rsidR="009A2C72" w:rsidRPr="003E47CC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     </w:t>
      </w:r>
      <w:proofErr w:type="spellStart"/>
      <w:r w:rsidR="009A2C72" w:rsidRPr="003E47CC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Айгожин</w:t>
      </w:r>
      <w:proofErr w:type="spellEnd"/>
      <w:r w:rsidR="009A2C72" w:rsidRPr="003E47CC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Б.К.                                                         </w:t>
      </w:r>
    </w:p>
    <w:p w:rsidR="003E47CC" w:rsidRDefault="003E47CC" w:rsidP="00F952E8">
      <w:pPr>
        <w:rPr>
          <w:rFonts w:ascii="Times New Roman" w:eastAsia="+mj-ea" w:hAnsi="Times New Roman" w:cs="Times New Roman"/>
          <w:b/>
          <w:color w:val="000000" w:themeColor="text1"/>
          <w:sz w:val="52"/>
          <w:szCs w:val="8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F952E8" w:rsidRPr="00F952E8" w:rsidRDefault="00F952E8" w:rsidP="00F952E8">
      <w:pP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eastAsia="+mj-ea" w:hAnsi="Times New Roman" w:cs="Times New Roman"/>
          <w:b/>
          <w:color w:val="000000" w:themeColor="text1"/>
          <w:sz w:val="52"/>
          <w:szCs w:val="8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</w:t>
      </w:r>
      <w:r w:rsidRPr="00F952E8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№ 4-51 ІС</w:t>
      </w:r>
    </w:p>
    <w:p w:rsidR="00F952E8" w:rsidRPr="00F952E8" w:rsidRDefault="00F952E8" w:rsidP="00F952E8">
      <w:pPr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F952E8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="00553090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</w:t>
      </w:r>
      <w:r w:rsidRPr="00F952E8">
        <w:rPr>
          <w:rFonts w:ascii="Times New Roman" w:eastAsia="+mj-ea" w:hAnsi="Times New Roman" w:cs="Times New Roman"/>
          <w:b/>
          <w:color w:val="000000" w:themeColor="text1"/>
          <w:sz w:val="28"/>
          <w:szCs w:val="28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Дело № 4-51</w:t>
      </w:r>
    </w:p>
    <w:p w:rsidR="00F952E8" w:rsidRPr="00F952E8" w:rsidRDefault="00F952E8" w:rsidP="00F952E8">
      <w:pPr>
        <w:rPr>
          <w:rFonts w:ascii="Times New Roman" w:eastAsia="+mj-ea" w:hAnsi="Times New Roman" w:cs="Times New Roman"/>
          <w:b/>
          <w:color w:val="000000" w:themeColor="text1"/>
          <w:sz w:val="10"/>
          <w:szCs w:val="1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3E47CC" w:rsidRPr="00F952E8" w:rsidRDefault="003E47CC" w:rsidP="00134D0D">
      <w:pPr>
        <w:jc w:val="center"/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Білім беру үдерісі мониторингінің кешенді бағдарламасы</w:t>
      </w:r>
    </w:p>
    <w:p w:rsidR="003E47CC" w:rsidRPr="00F952E8" w:rsidRDefault="003E47CC" w:rsidP="00134D0D">
      <w:pPr>
        <w:jc w:val="center"/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«Павлодар қаласы №34 инновациялық үлгідегі жалпы орта білім беру» ММ</w:t>
      </w:r>
    </w:p>
    <w:p w:rsidR="003E47CC" w:rsidRPr="00F952E8" w:rsidRDefault="003E47CC" w:rsidP="003E47CC">
      <w:pPr>
        <w:jc w:val="center"/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:lang w:val="kk-KZ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(2013-2014 оқу жылы)</w:t>
      </w:r>
    </w:p>
    <w:p w:rsidR="009A2C72" w:rsidRPr="00F952E8" w:rsidRDefault="00134D0D" w:rsidP="00134D0D">
      <w:pPr>
        <w:jc w:val="center"/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Программа </w:t>
      </w:r>
      <w:r w:rsidR="000D28FB"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комплексного мониторинга </w:t>
      </w:r>
      <w:r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образовательного </w:t>
      </w:r>
      <w:r w:rsidR="000D28FB"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процесса ГУ «Средняя общеобразовательная школа №34 инновационного типа</w:t>
      </w:r>
      <w:r w:rsidR="006371C6"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города Павлодара</w:t>
      </w:r>
      <w:r w:rsidR="000D28FB" w:rsidRPr="00F952E8">
        <w:rPr>
          <w:rFonts w:ascii="Times New Roman" w:eastAsia="+mj-ea" w:hAnsi="Times New Roman" w:cs="Times New Roman"/>
          <w:b/>
          <w:color w:val="000000" w:themeColor="text1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»</w:t>
      </w:r>
    </w:p>
    <w:p w:rsidR="00A33F95" w:rsidRPr="003E47CC" w:rsidRDefault="009A2C72" w:rsidP="00134D0D">
      <w:pPr>
        <w:jc w:val="center"/>
        <w:rPr>
          <w:rFonts w:ascii="Times New Roman" w:eastAsia="+mj-ea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3E47CC">
        <w:rPr>
          <w:rFonts w:ascii="Times New Roman" w:eastAsia="+mj-ea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(2013-2014 уч. год)</w:t>
      </w:r>
      <w:r w:rsidR="00134D0D" w:rsidRPr="003E47CC">
        <w:rPr>
          <w:rFonts w:ascii="Times New Roman" w:eastAsia="+mj-ea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</w:p>
    <w:p w:rsidR="006371C6" w:rsidRDefault="006371C6" w:rsidP="00134D0D">
      <w:pPr>
        <w:pStyle w:val="a3"/>
        <w:spacing w:before="154" w:beforeAutospacing="0" w:after="0" w:afterAutospacing="0"/>
        <w:textAlignment w:val="baseline"/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:lang w:val="kk-KZ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47CC" w:rsidRPr="00553090" w:rsidRDefault="00F952E8" w:rsidP="00F952E8">
      <w:pPr>
        <w:pStyle w:val="a3"/>
        <w:spacing w:before="154" w:beforeAutospacing="0" w:after="0" w:afterAutospacing="0"/>
        <w:jc w:val="right"/>
        <w:textAlignment w:val="baseline"/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</w:pPr>
      <w:r w:rsidRPr="00553090"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  <w:t>Сақтау мерзімі: 5 жыл СК</w:t>
      </w:r>
    </w:p>
    <w:p w:rsidR="00F952E8" w:rsidRPr="00553090" w:rsidRDefault="00637CF3" w:rsidP="00637CF3">
      <w:pPr>
        <w:pStyle w:val="a3"/>
        <w:spacing w:before="154" w:beforeAutospacing="0" w:after="0" w:afterAutospacing="0"/>
        <w:jc w:val="center"/>
        <w:textAlignment w:val="baseline"/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</w:pPr>
      <w:r w:rsidRPr="00553090"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  <w:t xml:space="preserve">                                                                                                                                             </w:t>
      </w:r>
      <w:r w:rsidR="00553090"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  <w:t xml:space="preserve">          </w:t>
      </w:r>
      <w:r w:rsidR="00F952E8" w:rsidRPr="00553090">
        <w:rPr>
          <w:rFonts w:eastAsiaTheme="minorEastAsia"/>
          <w:b/>
          <w:bCs/>
          <w:color w:val="000000"/>
          <w:sz w:val="28"/>
          <w:szCs w:val="28"/>
          <w:lang w:val="kk-KZ"/>
          <w14:shadow w14:blurRad="38100" w14:dist="38100" w14:dir="2700000" w14:sx="100000" w14:sy="100000" w14:kx="0" w14:ky="0" w14:algn="tl">
            <w14:srgbClr w14:val="FFFFFF"/>
          </w14:shadow>
        </w:rPr>
        <w:t>Срок хранения: 5 лет ЭК</w:t>
      </w:r>
    </w:p>
    <w:p w:rsidR="00553090" w:rsidRDefault="00553090" w:rsidP="00134D0D">
      <w:pPr>
        <w:pStyle w:val="a3"/>
        <w:spacing w:before="154" w:beforeAutospacing="0" w:after="0" w:afterAutospacing="0"/>
        <w:textAlignment w:val="baseline"/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:lang w:val="kk-KZ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F47E6D" w:rsidRDefault="00F47E6D" w:rsidP="00134D0D">
      <w:pPr>
        <w:pStyle w:val="a3"/>
        <w:spacing w:before="154" w:beforeAutospacing="0" w:after="0" w:afterAutospacing="0"/>
        <w:textAlignment w:val="baseline"/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:lang w:val="kk-KZ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134D0D" w:rsidRPr="00134D0D" w:rsidRDefault="00134D0D" w:rsidP="00134D0D">
      <w:pPr>
        <w:pStyle w:val="a3"/>
        <w:spacing w:before="154" w:beforeAutospacing="0" w:after="0" w:afterAutospacing="0"/>
        <w:textAlignment w:val="baseline"/>
        <w:rPr>
          <w:sz w:val="14"/>
        </w:rPr>
      </w:pPr>
      <w:r w:rsidRPr="00134D0D"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14:shadow w14:blurRad="38100" w14:dist="38100" w14:dir="2700000" w14:sx="100000" w14:sy="100000" w14:kx="0" w14:ky="0" w14:algn="tl">
            <w14:srgbClr w14:val="FFFFFF"/>
          </w14:shadow>
        </w:rPr>
        <w:t>Цел</w:t>
      </w:r>
      <w:r w:rsidR="003E47CC"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14:shadow w14:blurRad="38100" w14:dist="38100" w14:dir="2700000" w14:sx="100000" w14:sy="100000" w14:kx="0" w14:ky="0" w14:algn="tl">
            <w14:srgbClr w14:val="FFFFFF"/>
          </w14:shadow>
        </w:rPr>
        <w:t>и</w:t>
      </w:r>
      <w:r w:rsidRPr="00134D0D"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14:shadow w14:blurRad="38100" w14:dist="38100" w14:dir="2700000" w14:sx="100000" w14:sy="100000" w14:kx="0" w14:ky="0" w14:algn="tl">
            <w14:srgbClr w14:val="FFFFFF"/>
          </w14:shadow>
        </w:rPr>
        <w:t>мониторинга</w:t>
      </w:r>
      <w:r w:rsidRPr="00134D0D">
        <w:rPr>
          <w:rFonts w:asciiTheme="minorHAnsi" w:eastAsiaTheme="minorEastAsia" w:hAnsi="Arial" w:cstheme="minorBidi"/>
          <w:b/>
          <w:bCs/>
          <w:color w:val="000000"/>
          <w:sz w:val="40"/>
          <w:szCs w:val="64"/>
          <w14:shadow w14:blurRad="38100" w14:dist="38100" w14:dir="2700000" w14:sx="100000" w14:sy="100000" w14:kx="0" w14:ky="0" w14:algn="tl">
            <w14:srgbClr w14:val="FFFFFF"/>
          </w14:shadow>
        </w:rPr>
        <w:t>:</w:t>
      </w:r>
    </w:p>
    <w:p w:rsidR="00134D0D" w:rsidRPr="00134D0D" w:rsidRDefault="00134D0D" w:rsidP="00134D0D">
      <w:pPr>
        <w:pStyle w:val="a3"/>
        <w:spacing w:before="134" w:beforeAutospacing="0" w:after="0" w:afterAutospacing="0"/>
        <w:textAlignment w:val="baseline"/>
        <w:rPr>
          <w:sz w:val="14"/>
        </w:rPr>
      </w:pP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1.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Инициировать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качество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образования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,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способствующего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формированию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конкурентоспособной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личности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. </w:t>
      </w:r>
    </w:p>
    <w:p w:rsidR="00134D0D" w:rsidRDefault="00134D0D" w:rsidP="00134D0D">
      <w:pPr>
        <w:pStyle w:val="a3"/>
        <w:spacing w:before="134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</w:pP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2.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Создать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информационные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условия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для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формирования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целостного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представления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о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состоянии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образовательной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среды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для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учащихся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,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о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качественных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и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количественных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изменениях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в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>ней</w:t>
      </w:r>
      <w:r w:rsidRPr="00134D0D">
        <w:rPr>
          <w:rFonts w:asciiTheme="minorHAnsi" w:eastAsiaTheme="minorEastAsia" w:hAnsi="Arial" w:cstheme="minorBidi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t xml:space="preserve">. </w:t>
      </w:r>
    </w:p>
    <w:p w:rsidR="00134D0D" w:rsidRDefault="00134D0D">
      <w:pPr>
        <w:rPr>
          <w:rFonts w:eastAsiaTheme="minorEastAsia" w:hAnsi="Arial"/>
          <w:color w:val="000000" w:themeColor="text1"/>
          <w:sz w:val="36"/>
          <w:szCs w:val="56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</w:pPr>
      <w:r>
        <w:rPr>
          <w:rFonts w:eastAsiaTheme="minorEastAsia" w:hAnsi="Arial"/>
          <w:color w:val="000000" w:themeColor="text1"/>
          <w:sz w:val="36"/>
          <w:szCs w:val="56"/>
          <w14:shadow w14:blurRad="38100" w14:dist="38100" w14:dir="2700000" w14:sx="100000" w14:sy="100000" w14:kx="0" w14:ky="0" w14:algn="tl">
            <w14:srgbClr w14:val="000000"/>
          </w14:shadow>
        </w:rPr>
        <w:br w:type="page"/>
      </w:r>
    </w:p>
    <w:p w:rsidR="00134D0D" w:rsidRPr="00134D0D" w:rsidRDefault="00134D0D" w:rsidP="00134D0D">
      <w:pPr>
        <w:pStyle w:val="a3"/>
        <w:spacing w:before="134" w:beforeAutospacing="0" w:after="0" w:afterAutospacing="0"/>
        <w:textAlignment w:val="baseline"/>
        <w:rPr>
          <w:sz w:val="14"/>
        </w:rPr>
      </w:pPr>
    </w:p>
    <w:tbl>
      <w:tblPr>
        <w:tblW w:w="14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3"/>
        <w:gridCol w:w="2570"/>
        <w:gridCol w:w="2547"/>
        <w:gridCol w:w="2781"/>
        <w:gridCol w:w="2030"/>
        <w:gridCol w:w="3085"/>
      </w:tblGrid>
      <w:tr w:rsidR="006371C6" w:rsidRPr="00134D0D" w:rsidTr="006371C6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F85F7C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Уровни образования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Показатели продуктивности образовательного процесса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Индикаторы оценки продуктивности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Методы сбора информации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Перио</w:t>
            </w:r>
            <w:proofErr w:type="spellEnd"/>
          </w:p>
          <w:p w:rsidR="00134D0D" w:rsidRPr="00134D0D" w:rsidRDefault="00134D0D" w:rsidP="00134D0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дичность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Формы </w:t>
            </w: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предоставле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  <w:p w:rsidR="00134D0D" w:rsidRPr="00134D0D" w:rsidRDefault="00134D0D" w:rsidP="00134D0D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ния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информации</w:t>
            </w:r>
          </w:p>
        </w:tc>
      </w:tr>
      <w:tr w:rsidR="006371C6" w:rsidRPr="00134D0D" w:rsidTr="006371C6">
        <w:trPr>
          <w:trHeight w:val="1705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9160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Нач</w:t>
            </w:r>
            <w:r w:rsidR="00F85F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альн</w:t>
            </w:r>
            <w:r w:rsidR="009160F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ое</w:t>
            </w:r>
            <w:r w:rsidR="00F85F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образовани</w:t>
            </w:r>
            <w:r w:rsidR="009160F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Здоровье учащихся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Состояние физического здоровья.</w:t>
            </w:r>
          </w:p>
          <w:p w:rsidR="00134D0D" w:rsidRPr="00134D0D" w:rsidRDefault="00134D0D" w:rsidP="006371C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Состояние соматического здоровья.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углубленного медосмотра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34D0D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Таблицы.</w:t>
            </w:r>
          </w:p>
          <w:p w:rsidR="00134D0D" w:rsidRPr="00134D0D" w:rsidRDefault="00134D0D" w:rsidP="006371C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Списки мед групп</w:t>
            </w:r>
            <w:r w:rsidR="001912F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ы</w:t>
            </w:r>
          </w:p>
        </w:tc>
      </w:tr>
      <w:tr w:rsidR="006371C6" w:rsidRPr="00134D0D" w:rsidTr="006371C6">
        <w:trPr>
          <w:trHeight w:val="1705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2. Овладение государственным стандартом образования (</w:t>
            </w: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ЗУНы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Стандарты образования к каждому модулю.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контрольных работ после прохождения каждого блока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После каждого модуля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Сравнитель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анализы,</w:t>
            </w:r>
          </w:p>
        </w:tc>
      </w:tr>
      <w:tr w:rsidR="006371C6" w:rsidRPr="00134D0D" w:rsidTr="006371C6">
        <w:trPr>
          <w:trHeight w:val="139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1912F1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="006371C6"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.Итоговый контроль по классам и предметам.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6371C6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Итоговые оценки.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6371C6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суммирующих оценок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6371C6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4D0D" w:rsidRPr="00134D0D" w:rsidRDefault="006371C6" w:rsidP="006371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Таблицы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налитический комментарий</w:t>
            </w:r>
          </w:p>
        </w:tc>
      </w:tr>
      <w:tr w:rsidR="006371C6" w:rsidRPr="00134D0D" w:rsidTr="006371C6">
        <w:trPr>
          <w:trHeight w:val="139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1912F1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1C6" w:rsidRPr="00134D0D">
              <w:rPr>
                <w:rFonts w:ascii="Times New Roman" w:hAnsi="Times New Roman" w:cs="Times New Roman"/>
                <w:sz w:val="24"/>
                <w:szCs w:val="24"/>
              </w:rPr>
              <w:t>.Сформированность типов учебной деятельности.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Компоненты типов учебной деятельности.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анкетирование.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6371C6" w:rsidRPr="00134D0D" w:rsidTr="006371C6">
        <w:trPr>
          <w:trHeight w:val="139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7239B4" w:rsidP="00F8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71C6" w:rsidRPr="00134D0D">
              <w:rPr>
                <w:rFonts w:ascii="Times New Roman" w:hAnsi="Times New Roman" w:cs="Times New Roman"/>
                <w:sz w:val="24"/>
                <w:szCs w:val="24"/>
              </w:rPr>
              <w:t>.Овладение ключевыми компетен</w:t>
            </w:r>
            <w:r w:rsidR="00F85F7C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Уровни сформированности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ориентированные  задания.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6371C6" w:rsidRPr="00134D0D" w:rsidTr="006371C6">
        <w:trPr>
          <w:trHeight w:val="110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7239B4" w:rsidP="0063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71C6" w:rsidRPr="00134D0D">
              <w:rPr>
                <w:rFonts w:ascii="Times New Roman" w:hAnsi="Times New Roman" w:cs="Times New Roman"/>
                <w:sz w:val="24"/>
                <w:szCs w:val="24"/>
              </w:rPr>
              <w:t>. Овладение личностными результатами (социализация личности, ценностные ориентации, интерес к обучению, готовность к обучению, мотивация)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Критерии сформированности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 Педагогическое  наблюдение.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6371C6" w:rsidRPr="00134D0D" w:rsidTr="006371C6">
        <w:trPr>
          <w:trHeight w:val="110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7239B4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71C6" w:rsidRPr="00134D0D">
              <w:rPr>
                <w:rFonts w:ascii="Times New Roman" w:hAnsi="Times New Roman" w:cs="Times New Roman"/>
                <w:sz w:val="24"/>
                <w:szCs w:val="24"/>
              </w:rPr>
              <w:t>.Освоение  проектной и исследовательской деятельности.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Наличие работ в Портфолио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Портфолио каждого ребенка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1C6" w:rsidRPr="00134D0D" w:rsidRDefault="006371C6" w:rsidP="0063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</w:tbl>
    <w:p w:rsidR="00134D0D" w:rsidRDefault="00134D0D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p w:rsidR="00F85F7C" w:rsidRDefault="00F85F7C">
      <w:pPr>
        <w:rPr>
          <w:sz w:val="16"/>
        </w:rPr>
      </w:pPr>
    </w:p>
    <w:tbl>
      <w:tblPr>
        <w:tblW w:w="149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0"/>
        <w:gridCol w:w="3179"/>
        <w:gridCol w:w="2599"/>
        <w:gridCol w:w="3425"/>
        <w:gridCol w:w="1810"/>
        <w:gridCol w:w="2299"/>
      </w:tblGrid>
      <w:tr w:rsidR="00134D0D" w:rsidRPr="00134D0D" w:rsidTr="00134D0D">
        <w:trPr>
          <w:trHeight w:val="23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Ступени обучения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Показатели продуктивности образовательного процесса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Индикаторы оценки продуктивности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Методы сбора информации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Перио</w:t>
            </w:r>
            <w:proofErr w:type="spellEnd"/>
          </w:p>
          <w:p w:rsidR="00134D0D" w:rsidRPr="00134D0D" w:rsidRDefault="00134D0D" w:rsidP="00134D0D">
            <w:pPr>
              <w:kinsoku w:val="0"/>
              <w:overflowPunct w:val="0"/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дичность</w:t>
            </w:r>
            <w:proofErr w:type="spellEnd"/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Формы </w:t>
            </w: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предоставле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  <w:p w:rsidR="00134D0D" w:rsidRPr="00134D0D" w:rsidRDefault="00134D0D" w:rsidP="00134D0D">
            <w:pPr>
              <w:kinsoku w:val="0"/>
              <w:overflowPunct w:val="0"/>
              <w:spacing w:after="0" w:line="23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ния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информации</w:t>
            </w:r>
          </w:p>
        </w:tc>
      </w:tr>
      <w:tr w:rsidR="00134D0D" w:rsidRPr="00134D0D" w:rsidTr="00134D0D">
        <w:trPr>
          <w:trHeight w:val="23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F85F7C" w:rsidP="00134D0D">
            <w:pPr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Основное среднее образование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Здоровье учащихся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Состояние физического здоровья.</w:t>
            </w:r>
          </w:p>
          <w:p w:rsidR="00134D0D" w:rsidRPr="00134D0D" w:rsidRDefault="00134D0D" w:rsidP="00134D0D">
            <w:pPr>
              <w:kinsoku w:val="0"/>
              <w:overflowPunct w:val="0"/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Состояние соматического здоровья.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углубленного медосмотра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Таблицы.</w:t>
            </w:r>
          </w:p>
          <w:p w:rsidR="00134D0D" w:rsidRPr="00134D0D" w:rsidRDefault="00134D0D" w:rsidP="00134D0D">
            <w:pPr>
              <w:kinsoku w:val="0"/>
              <w:overflowPunct w:val="0"/>
              <w:spacing w:after="0" w:line="2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Списки мед групп</w:t>
            </w:r>
          </w:p>
        </w:tc>
      </w:tr>
      <w:tr w:rsidR="00134D0D" w:rsidRPr="00134D0D" w:rsidTr="00134D0D">
        <w:trPr>
          <w:trHeight w:val="2207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Овладение государственным стандартом образования (</w:t>
            </w:r>
            <w:proofErr w:type="spell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ЗУНы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Стандарты образования к каждому модулю.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контрольных работ после прохождения каждого блока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После каждого модуля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Сравнитель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  <w:p w:rsidR="00134D0D" w:rsidRPr="00134D0D" w:rsidRDefault="00134D0D" w:rsidP="00134D0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ные</w:t>
            </w:r>
            <w:proofErr w:type="spell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анализы,</w:t>
            </w:r>
          </w:p>
        </w:tc>
      </w:tr>
      <w:tr w:rsidR="00134D0D" w:rsidRPr="00134D0D" w:rsidTr="00134D0D">
        <w:trPr>
          <w:trHeight w:val="1852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7239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3. Результаты </w:t>
            </w:r>
            <w:r w:rsidR="007239B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ВОУД </w:t>
            </w: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(в 9 классе)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Результаты тестового контроля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ПГК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Таблицы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налитический комментарий</w:t>
            </w:r>
          </w:p>
        </w:tc>
      </w:tr>
      <w:tr w:rsidR="00134D0D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4.Итоговый контроль по классам и предметам.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Итоговые оценки.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Изучение результатов суммирующих оценок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34D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Таблицы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proofErr w:type="gramEnd"/>
            <w:r w:rsidRPr="00134D0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налитический комментарий</w:t>
            </w:r>
          </w:p>
        </w:tc>
      </w:tr>
      <w:tr w:rsidR="00FF56F4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5.Сформированность типов учебной деятельности.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Компоненты типов учебной деятельности.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FF56F4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7239B4" w:rsidP="00F8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6F4" w:rsidRPr="00134D0D">
              <w:rPr>
                <w:rFonts w:ascii="Times New Roman" w:hAnsi="Times New Roman" w:cs="Times New Roman"/>
                <w:sz w:val="24"/>
                <w:szCs w:val="24"/>
              </w:rPr>
              <w:t>.Овладение ключевыми компетен</w:t>
            </w:r>
            <w:r w:rsidR="00F85F7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FF56F4" w:rsidRPr="00134D0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Уровни сформированности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ориентированные  задания.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56F4" w:rsidRPr="00134D0D" w:rsidRDefault="00FF56F4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FF56F4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FF56F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7239B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56F4" w:rsidRPr="00134D0D">
              <w:rPr>
                <w:rFonts w:ascii="Times New Roman" w:hAnsi="Times New Roman" w:cs="Times New Roman"/>
                <w:sz w:val="24"/>
                <w:szCs w:val="24"/>
              </w:rPr>
              <w:t>. Овладение личностными результатами (социализация личности, ценностные ориентации, интерес к обучению, готовность к обучению, мотивация)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FF56F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Критерии сформированности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FF56F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 Педагогическое  наблюдение.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FF56F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6F4" w:rsidRPr="00134D0D" w:rsidRDefault="00FF56F4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D9333F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D9333F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7239B4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333F" w:rsidRPr="00134D0D">
              <w:rPr>
                <w:rFonts w:ascii="Times New Roman" w:hAnsi="Times New Roman" w:cs="Times New Roman"/>
                <w:sz w:val="24"/>
                <w:szCs w:val="24"/>
              </w:rPr>
              <w:t>.Освоение  проектной и исследовательской деятельности</w:t>
            </w:r>
            <w:r w:rsidR="00650E9C">
              <w:rPr>
                <w:rFonts w:ascii="Times New Roman" w:hAnsi="Times New Roman" w:cs="Times New Roman"/>
                <w:sz w:val="24"/>
                <w:szCs w:val="24"/>
              </w:rPr>
              <w:t xml:space="preserve"> (5 классы)</w:t>
            </w:r>
            <w:r w:rsidR="00D9333F" w:rsidRPr="0013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D9333F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Наличие работ в Портфолио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D9333F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Портфолио каждого ребенка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D9333F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333F" w:rsidRPr="00134D0D" w:rsidRDefault="00D9333F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D9333F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7239B4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333F" w:rsidRPr="00134D0D">
              <w:rPr>
                <w:rFonts w:ascii="Times New Roman" w:hAnsi="Times New Roman" w:cs="Times New Roman"/>
                <w:sz w:val="24"/>
                <w:szCs w:val="24"/>
              </w:rPr>
              <w:t>.Удовлетворённость учащимися образовательным процессом.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Удовлетворённость содержанием учебного процесса.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аналитический комментарий</w:t>
            </w:r>
          </w:p>
        </w:tc>
      </w:tr>
      <w:tr w:rsidR="00D9333F" w:rsidRPr="00134D0D" w:rsidTr="00134D0D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7239B4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333F" w:rsidRPr="00134D0D">
              <w:rPr>
                <w:rFonts w:ascii="Times New Roman" w:hAnsi="Times New Roman" w:cs="Times New Roman"/>
                <w:sz w:val="24"/>
                <w:szCs w:val="24"/>
              </w:rPr>
              <w:t>.Удовлетворённость родителями образовательным процессом.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Удовлетворённость содержанием и организацией учебного процесса.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D9333F" w:rsidRPr="00134D0D" w:rsidRDefault="00D9333F" w:rsidP="0013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аналитический комментарий</w:t>
            </w:r>
          </w:p>
        </w:tc>
      </w:tr>
    </w:tbl>
    <w:p w:rsidR="00134D0D" w:rsidRDefault="00134D0D" w:rsidP="00134D0D">
      <w:pPr>
        <w:jc w:val="center"/>
        <w:rPr>
          <w:sz w:val="16"/>
        </w:rPr>
      </w:pPr>
    </w:p>
    <w:p w:rsidR="00134D0D" w:rsidRDefault="00134D0D">
      <w:pPr>
        <w:rPr>
          <w:sz w:val="16"/>
        </w:rPr>
      </w:pPr>
      <w:r>
        <w:rPr>
          <w:sz w:val="16"/>
        </w:rPr>
        <w:br w:type="page"/>
      </w:r>
    </w:p>
    <w:tbl>
      <w:tblPr>
        <w:tblW w:w="149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0"/>
        <w:gridCol w:w="3179"/>
        <w:gridCol w:w="2599"/>
        <w:gridCol w:w="3425"/>
        <w:gridCol w:w="1810"/>
        <w:gridCol w:w="2299"/>
      </w:tblGrid>
      <w:tr w:rsidR="00134D0D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F85F7C" w:rsidP="00F85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среднее образование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1. Здоровье учащихся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Состояние физического здоровья.</w:t>
            </w:r>
          </w:p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Состояние соматического здоровья.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углубленного медосмотра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Списки мед групп</w:t>
            </w:r>
          </w:p>
        </w:tc>
      </w:tr>
      <w:tr w:rsidR="00134D0D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2. Овладение государственным стандартом образования (</w:t>
            </w: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ЗУНы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Стандарты образования к каждому модулю.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контрольных работ после прохождения каждого блока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После каждого модуля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Сравнитель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4D0D" w:rsidRPr="00134D0D" w:rsidRDefault="00134D0D" w:rsidP="009A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анализы</w:t>
            </w:r>
          </w:p>
        </w:tc>
      </w:tr>
      <w:tr w:rsidR="00134D0D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3. Результаты ЕНТ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Результаты ЕНТ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ЕНТ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налитический комментарий</w:t>
            </w:r>
          </w:p>
        </w:tc>
      </w:tr>
      <w:tr w:rsidR="00134D0D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19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4.Итоговый контроль по классам и предметам.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Итоговые оценки.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суммирующих оценок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D0D" w:rsidRPr="00134D0D" w:rsidRDefault="00134D0D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9A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5.Сформированность типов учебной деятельности.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Компоненты типов учебной деятельности.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9A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6. Овладение мыслительными операциями.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Критерии сформированности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Специальные методики, разработанные задания.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F8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7.Овладение ключевыми компетен</w:t>
            </w:r>
            <w:r w:rsidR="00F85F7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Критерии сформированности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ориентированные  задания.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650E9C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12F1" w:rsidRPr="00134D0D">
              <w:rPr>
                <w:rFonts w:ascii="Times New Roman" w:hAnsi="Times New Roman" w:cs="Times New Roman"/>
                <w:sz w:val="24"/>
                <w:szCs w:val="24"/>
              </w:rPr>
              <w:t>. Овладение личностными результатами (социализация личности, ценностные ориентации, интерес к обучению, готовность к обучению, мотивация)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Критерии сформированности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 Педагогическое  наблюдение.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650E9C" w:rsidP="009A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12F1" w:rsidRPr="00134D0D">
              <w:rPr>
                <w:rFonts w:ascii="Times New Roman" w:hAnsi="Times New Roman" w:cs="Times New Roman"/>
                <w:sz w:val="24"/>
                <w:szCs w:val="24"/>
              </w:rPr>
              <w:t>.Отслеживание индивидуальных образовательных траекторий.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образовательных программ (ИОП)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Изучение ИОП каждого ученика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6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.Удовлетворённость учащимися образовательным процессом.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Удовлетворённость содержанием учебного процесса.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1раз </w:t>
            </w: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вгод</w:t>
            </w:r>
            <w:proofErr w:type="spellEnd"/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6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.Удовлетворённость родителями образовательным процессом.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Удовлетворённость содержанием и организацией учебного процесса.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 xml:space="preserve">1раз </w:t>
            </w:r>
            <w:proofErr w:type="spellStart"/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вгод</w:t>
            </w:r>
            <w:proofErr w:type="spellEnd"/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аналитический комментарий</w:t>
            </w:r>
          </w:p>
        </w:tc>
      </w:tr>
      <w:tr w:rsidR="001912F1" w:rsidRPr="00134D0D" w:rsidTr="0049421C">
        <w:trPr>
          <w:trHeight w:val="195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65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.Профессиональное самоопределение.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Предполагаемый вид деятельности.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12F1" w:rsidRPr="00134D0D" w:rsidRDefault="001912F1" w:rsidP="00494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0D">
              <w:rPr>
                <w:rFonts w:ascii="Times New Roman" w:hAnsi="Times New Roman" w:cs="Times New Roman"/>
                <w:sz w:val="24"/>
                <w:szCs w:val="24"/>
              </w:rPr>
              <w:t>Таблица, аналитический комментарий</w:t>
            </w:r>
          </w:p>
        </w:tc>
      </w:tr>
    </w:tbl>
    <w:p w:rsidR="00134D0D" w:rsidRPr="00134D0D" w:rsidRDefault="00134D0D" w:rsidP="00134D0D">
      <w:pPr>
        <w:jc w:val="center"/>
        <w:rPr>
          <w:sz w:val="16"/>
        </w:rPr>
      </w:pPr>
    </w:p>
    <w:sectPr w:rsidR="00134D0D" w:rsidRPr="00134D0D" w:rsidSect="0055309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0D"/>
    <w:rsid w:val="000D28FB"/>
    <w:rsid w:val="00134D0D"/>
    <w:rsid w:val="001912F1"/>
    <w:rsid w:val="003E47CC"/>
    <w:rsid w:val="00553090"/>
    <w:rsid w:val="006371C6"/>
    <w:rsid w:val="00637CF3"/>
    <w:rsid w:val="00650E9C"/>
    <w:rsid w:val="0072176E"/>
    <w:rsid w:val="007239B4"/>
    <w:rsid w:val="009160FE"/>
    <w:rsid w:val="009A2C72"/>
    <w:rsid w:val="00A33F95"/>
    <w:rsid w:val="00A36B73"/>
    <w:rsid w:val="00D9333F"/>
    <w:rsid w:val="00F47E6D"/>
    <w:rsid w:val="00F85F7C"/>
    <w:rsid w:val="00F952E8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16</cp:revision>
  <cp:lastPrinted>2014-02-13T09:59:00Z</cp:lastPrinted>
  <dcterms:created xsi:type="dcterms:W3CDTF">2013-11-08T04:50:00Z</dcterms:created>
  <dcterms:modified xsi:type="dcterms:W3CDTF">2014-02-25T10:16:00Z</dcterms:modified>
</cp:coreProperties>
</file>