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5D" w:rsidRPr="00C23107" w:rsidRDefault="00C26862" w:rsidP="00B2105D">
      <w:pPr>
        <w:pStyle w:val="a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</w:t>
      </w:r>
      <w:r w:rsidR="00B2105D" w:rsidRPr="00C23107">
        <w:rPr>
          <w:b/>
          <w:color w:val="000000"/>
          <w:sz w:val="28"/>
          <w:szCs w:val="28"/>
        </w:rPr>
        <w:t>формация об итогах единого национального тестирования</w:t>
      </w:r>
      <w:r w:rsidR="00B2105D">
        <w:rPr>
          <w:b/>
          <w:color w:val="000000"/>
          <w:sz w:val="28"/>
          <w:szCs w:val="28"/>
        </w:rPr>
        <w:t xml:space="preserve"> школы «Стикс» в 2013-2014</w:t>
      </w:r>
      <w:r w:rsidR="00B2105D" w:rsidRPr="00C23107">
        <w:rPr>
          <w:b/>
          <w:color w:val="000000"/>
          <w:sz w:val="28"/>
          <w:szCs w:val="28"/>
        </w:rPr>
        <w:t xml:space="preserve"> учебном году.</w:t>
      </w:r>
    </w:p>
    <w:p w:rsidR="00B2105D" w:rsidRPr="00C23107" w:rsidRDefault="00B2105D" w:rsidP="00B2105D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 xml:space="preserve">В соответствии с Законом Республики Казахстан «Об образовании», Правилами проведения ЕНТ </w:t>
      </w:r>
      <w:r w:rsidR="005C08A4">
        <w:rPr>
          <w:color w:val="000000"/>
          <w:sz w:val="28"/>
          <w:szCs w:val="28"/>
        </w:rPr>
        <w:t>2 июня 2014</w:t>
      </w:r>
      <w:r w:rsidRPr="00C23107">
        <w:rPr>
          <w:color w:val="000000"/>
          <w:sz w:val="28"/>
          <w:szCs w:val="28"/>
        </w:rPr>
        <w:t xml:space="preserve"> года учащиеся школы приняли участие в едином национальном тестировании выпускников.</w:t>
      </w:r>
    </w:p>
    <w:p w:rsidR="005C08A4" w:rsidRDefault="00B2105D" w:rsidP="00B2105D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Количество участников ЕНТ</w:t>
      </w:r>
      <w:r w:rsidR="005C08A4">
        <w:rPr>
          <w:color w:val="000000"/>
          <w:sz w:val="28"/>
          <w:szCs w:val="28"/>
        </w:rPr>
        <w:t xml:space="preserve"> в этом году 7 учащихся, что составило 33</w:t>
      </w:r>
      <w:r w:rsidRPr="00C23107">
        <w:rPr>
          <w:color w:val="000000"/>
          <w:sz w:val="28"/>
          <w:szCs w:val="28"/>
        </w:rPr>
        <w:t>% от общего количества выпускников (од</w:t>
      </w:r>
      <w:r w:rsidR="005C08A4">
        <w:rPr>
          <w:color w:val="000000"/>
          <w:sz w:val="28"/>
          <w:szCs w:val="28"/>
        </w:rPr>
        <w:t>на освобождена по справке ВКК, 13</w:t>
      </w:r>
      <w:r w:rsidRPr="00C23107">
        <w:rPr>
          <w:color w:val="000000"/>
          <w:sz w:val="28"/>
          <w:szCs w:val="28"/>
        </w:rPr>
        <w:t xml:space="preserve"> сдавали традиционный экзамен). По сравнению с прошедшим учебным годом (сдавали все учащиеся 11 класса) количеств</w:t>
      </w:r>
      <w:r w:rsidR="005C08A4">
        <w:rPr>
          <w:color w:val="000000"/>
          <w:sz w:val="28"/>
          <w:szCs w:val="28"/>
        </w:rPr>
        <w:t>о участников ЕНТ уменьшилось</w:t>
      </w:r>
      <w:r w:rsidRPr="00C23107">
        <w:rPr>
          <w:color w:val="000000"/>
          <w:sz w:val="28"/>
          <w:szCs w:val="28"/>
        </w:rPr>
        <w:t>, что объясняется  ориентацией выпускников на обучение в зарубежных ВУЗах.</w:t>
      </w:r>
    </w:p>
    <w:p w:rsidR="00B2105D" w:rsidRPr="00C23107" w:rsidRDefault="00B2105D" w:rsidP="00B2105D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Итоги ЕНТ показывают, что результа</w:t>
      </w:r>
      <w:r w:rsidR="005C08A4">
        <w:rPr>
          <w:color w:val="000000"/>
          <w:sz w:val="28"/>
          <w:szCs w:val="28"/>
        </w:rPr>
        <w:t>ты тестирования выпускников 2014</w:t>
      </w:r>
      <w:r w:rsidRPr="00C23107">
        <w:rPr>
          <w:color w:val="000000"/>
          <w:sz w:val="28"/>
          <w:szCs w:val="28"/>
        </w:rPr>
        <w:t>года в сравнении с прошлым годом по с</w:t>
      </w:r>
      <w:r w:rsidR="005C08A4">
        <w:rPr>
          <w:color w:val="000000"/>
          <w:sz w:val="28"/>
          <w:szCs w:val="28"/>
        </w:rPr>
        <w:t>реднему баллу улучшились на 0,73 балла</w:t>
      </w:r>
      <w:r w:rsidRPr="00C23107">
        <w:rPr>
          <w:color w:val="000000"/>
          <w:sz w:val="28"/>
          <w:szCs w:val="28"/>
        </w:rPr>
        <w:t>, что является</w:t>
      </w:r>
      <w:r w:rsidR="005C08A4">
        <w:rPr>
          <w:color w:val="000000"/>
          <w:sz w:val="28"/>
          <w:szCs w:val="28"/>
        </w:rPr>
        <w:t xml:space="preserve"> выше среднего по городу  на</w:t>
      </w:r>
      <w:proofErr w:type="gramStart"/>
      <w:r w:rsidR="005C08A4">
        <w:rPr>
          <w:color w:val="000000"/>
          <w:sz w:val="28"/>
          <w:szCs w:val="28"/>
        </w:rPr>
        <w:t xml:space="preserve">    </w:t>
      </w:r>
      <w:r w:rsidRPr="00C23107">
        <w:rPr>
          <w:color w:val="000000"/>
          <w:sz w:val="28"/>
          <w:szCs w:val="28"/>
        </w:rPr>
        <w:t>.</w:t>
      </w:r>
      <w:proofErr w:type="gramEnd"/>
    </w:p>
    <w:p w:rsidR="00B2105D" w:rsidRPr="00C23107" w:rsidRDefault="00B2105D" w:rsidP="00B2105D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В разрезе предметов наблюдается следующая картина: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0"/>
        <w:gridCol w:w="2343"/>
        <w:gridCol w:w="2268"/>
        <w:gridCol w:w="2268"/>
      </w:tblGrid>
      <w:tr w:rsidR="00521567" w:rsidRPr="00C23107" w:rsidTr="00521567">
        <w:tc>
          <w:tcPr>
            <w:tcW w:w="2160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предметы</w:t>
            </w:r>
          </w:p>
        </w:tc>
        <w:tc>
          <w:tcPr>
            <w:tcW w:w="2343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средний балл 2013</w:t>
            </w:r>
            <w:r w:rsidRPr="00C23107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средний балл 2014</w:t>
            </w:r>
            <w:r w:rsidRPr="00C23107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динамика</w:t>
            </w:r>
          </w:p>
        </w:tc>
      </w:tr>
      <w:tr w:rsidR="00521567" w:rsidRPr="00C23107" w:rsidTr="00521567">
        <w:tc>
          <w:tcPr>
            <w:tcW w:w="2160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казахский язык</w:t>
            </w:r>
          </w:p>
        </w:tc>
        <w:tc>
          <w:tcPr>
            <w:tcW w:w="2343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18,7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18,7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21567" w:rsidRPr="00C23107" w:rsidTr="00521567">
        <w:tc>
          <w:tcPr>
            <w:tcW w:w="2160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343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18,3</w:t>
            </w:r>
          </w:p>
        </w:tc>
        <w:tc>
          <w:tcPr>
            <w:tcW w:w="2268" w:type="dxa"/>
          </w:tcPr>
          <w:p w:rsidR="00521567" w:rsidRPr="00C23107" w:rsidRDefault="00521567" w:rsidP="005C08A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17,8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-0,</w:t>
            </w:r>
            <w:r w:rsidRPr="00C23107">
              <w:rPr>
                <w:color w:val="000000"/>
                <w:sz w:val="28"/>
                <w:szCs w:val="28"/>
              </w:rPr>
              <w:t>5</w:t>
            </w:r>
          </w:p>
        </w:tc>
      </w:tr>
      <w:tr w:rsidR="00521567" w:rsidRPr="00C23107" w:rsidTr="00521567">
        <w:tc>
          <w:tcPr>
            <w:tcW w:w="2160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история Казахстана</w:t>
            </w:r>
          </w:p>
        </w:tc>
        <w:tc>
          <w:tcPr>
            <w:tcW w:w="2343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16,7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16,7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21567" w:rsidRPr="00C23107" w:rsidTr="00521567">
        <w:tc>
          <w:tcPr>
            <w:tcW w:w="2160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343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14,1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13,8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-0,3</w:t>
            </w:r>
          </w:p>
        </w:tc>
      </w:tr>
      <w:tr w:rsidR="00521567" w:rsidRPr="00C23107" w:rsidTr="00521567">
        <w:tc>
          <w:tcPr>
            <w:tcW w:w="2160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2343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16,1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18,5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+2,4</w:t>
            </w:r>
          </w:p>
        </w:tc>
      </w:tr>
      <w:tr w:rsidR="00521567" w:rsidRPr="00C23107" w:rsidTr="00521567">
        <w:tc>
          <w:tcPr>
            <w:tcW w:w="2160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343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18,5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C23107">
              <w:rPr>
                <w:color w:val="000000"/>
                <w:sz w:val="28"/>
                <w:szCs w:val="28"/>
              </w:rPr>
              <w:t>1,5</w:t>
            </w:r>
          </w:p>
        </w:tc>
      </w:tr>
      <w:tr w:rsidR="00521567" w:rsidRPr="00C23107" w:rsidTr="00521567">
        <w:tc>
          <w:tcPr>
            <w:tcW w:w="2160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343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21567" w:rsidRPr="00C23107" w:rsidTr="00521567">
        <w:tc>
          <w:tcPr>
            <w:tcW w:w="2160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343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21567" w:rsidRPr="00C23107" w:rsidTr="00521567">
        <w:tc>
          <w:tcPr>
            <w:tcW w:w="2160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всемирная история</w:t>
            </w:r>
          </w:p>
        </w:tc>
        <w:tc>
          <w:tcPr>
            <w:tcW w:w="2343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21567" w:rsidRPr="00C23107" w:rsidTr="00521567">
        <w:tc>
          <w:tcPr>
            <w:tcW w:w="2160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2343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521567" w:rsidRPr="00C23107" w:rsidRDefault="00521567" w:rsidP="00E472DE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</w:t>
            </w:r>
          </w:p>
        </w:tc>
      </w:tr>
    </w:tbl>
    <w:p w:rsidR="00B2105D" w:rsidRPr="00C23107" w:rsidRDefault="00B2105D" w:rsidP="00B2105D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 xml:space="preserve">Положительная динамика наблюдается по сравнению с тестированием предыдущего года предметам: </w:t>
      </w:r>
      <w:r w:rsidR="005C08A4" w:rsidRPr="00C23107">
        <w:rPr>
          <w:color w:val="000000"/>
          <w:sz w:val="28"/>
          <w:szCs w:val="28"/>
        </w:rPr>
        <w:t>английскому языку</w:t>
      </w:r>
      <w:r w:rsidR="00D930CF">
        <w:rPr>
          <w:color w:val="000000"/>
          <w:sz w:val="28"/>
          <w:szCs w:val="28"/>
        </w:rPr>
        <w:t xml:space="preserve">.  </w:t>
      </w:r>
      <w:r w:rsidRPr="00C23107">
        <w:rPr>
          <w:color w:val="000000"/>
          <w:sz w:val="28"/>
          <w:szCs w:val="28"/>
        </w:rPr>
        <w:t xml:space="preserve"> </w:t>
      </w:r>
      <w:r w:rsidR="00D930CF">
        <w:rPr>
          <w:color w:val="000000"/>
          <w:sz w:val="28"/>
          <w:szCs w:val="28"/>
        </w:rPr>
        <w:t>Высокий</w:t>
      </w:r>
      <w:r w:rsidRPr="00C23107">
        <w:rPr>
          <w:color w:val="000000"/>
          <w:sz w:val="28"/>
          <w:szCs w:val="28"/>
        </w:rPr>
        <w:t xml:space="preserve"> средний балл по немецкому языку.  По прежнему на высоком уровне по среднему баллу казах</w:t>
      </w:r>
      <w:r w:rsidR="00D930CF">
        <w:rPr>
          <w:color w:val="000000"/>
          <w:sz w:val="28"/>
          <w:szCs w:val="28"/>
        </w:rPr>
        <w:t xml:space="preserve">ский язык. Отрицательная динамика по предметам </w:t>
      </w:r>
      <w:r w:rsidR="00D930CF" w:rsidRPr="00C23107">
        <w:rPr>
          <w:color w:val="000000"/>
          <w:sz w:val="28"/>
          <w:szCs w:val="28"/>
        </w:rPr>
        <w:t>русский язык, математика, биология.</w:t>
      </w:r>
      <w:r w:rsidR="00D930CF">
        <w:rPr>
          <w:color w:val="000000"/>
          <w:sz w:val="28"/>
          <w:szCs w:val="28"/>
        </w:rPr>
        <w:t xml:space="preserve"> На уровне прошлого года средний балл по географии и истории Казахстана.</w:t>
      </w:r>
    </w:p>
    <w:p w:rsidR="00B2105D" w:rsidRPr="00C23107" w:rsidRDefault="00B2105D" w:rsidP="00B2105D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Бол</w:t>
      </w:r>
      <w:r w:rsidR="00D930CF">
        <w:rPr>
          <w:color w:val="000000"/>
          <w:sz w:val="28"/>
          <w:szCs w:val="28"/>
        </w:rPr>
        <w:t>ее 100 баллов набрали 2 учащихся</w:t>
      </w:r>
      <w:r w:rsidR="005E7794">
        <w:rPr>
          <w:color w:val="000000"/>
          <w:sz w:val="28"/>
          <w:szCs w:val="28"/>
        </w:rPr>
        <w:t xml:space="preserve"> </w:t>
      </w:r>
      <w:proofErr w:type="spellStart"/>
      <w:r w:rsidR="005E7794">
        <w:rPr>
          <w:color w:val="000000"/>
          <w:sz w:val="28"/>
          <w:szCs w:val="28"/>
        </w:rPr>
        <w:t>Мещанова</w:t>
      </w:r>
      <w:proofErr w:type="spellEnd"/>
      <w:r w:rsidR="005E7794">
        <w:rPr>
          <w:color w:val="000000"/>
          <w:sz w:val="28"/>
          <w:szCs w:val="28"/>
        </w:rPr>
        <w:t xml:space="preserve"> </w:t>
      </w:r>
      <w:proofErr w:type="spellStart"/>
      <w:r w:rsidR="005E7794">
        <w:rPr>
          <w:color w:val="000000"/>
          <w:sz w:val="28"/>
          <w:szCs w:val="28"/>
        </w:rPr>
        <w:t>Нурия</w:t>
      </w:r>
      <w:proofErr w:type="spellEnd"/>
      <w:r w:rsidR="005E7794">
        <w:rPr>
          <w:color w:val="000000"/>
          <w:sz w:val="28"/>
          <w:szCs w:val="28"/>
        </w:rPr>
        <w:t xml:space="preserve"> – 101 балл, </w:t>
      </w:r>
      <w:proofErr w:type="spellStart"/>
      <w:r w:rsidR="005E7794">
        <w:rPr>
          <w:color w:val="000000"/>
          <w:sz w:val="28"/>
          <w:szCs w:val="28"/>
        </w:rPr>
        <w:t>Николдаева</w:t>
      </w:r>
      <w:proofErr w:type="spellEnd"/>
      <w:r w:rsidR="005E7794">
        <w:rPr>
          <w:color w:val="000000"/>
          <w:sz w:val="28"/>
          <w:szCs w:val="28"/>
        </w:rPr>
        <w:t xml:space="preserve"> Анастасия – 106 баллов</w:t>
      </w:r>
      <w:r w:rsidR="00D930CF">
        <w:rPr>
          <w:color w:val="000000"/>
          <w:sz w:val="28"/>
          <w:szCs w:val="28"/>
        </w:rPr>
        <w:t>, что составляет 28</w:t>
      </w:r>
      <w:r w:rsidRPr="00C23107">
        <w:rPr>
          <w:color w:val="000000"/>
          <w:sz w:val="28"/>
          <w:szCs w:val="28"/>
        </w:rPr>
        <w:t xml:space="preserve">% от общего </w:t>
      </w:r>
      <w:r w:rsidRPr="00C23107">
        <w:rPr>
          <w:color w:val="000000"/>
          <w:sz w:val="28"/>
          <w:szCs w:val="28"/>
        </w:rPr>
        <w:lastRenderedPageBreak/>
        <w:t>количества участников ЕНТ. Н</w:t>
      </w:r>
      <w:r w:rsidR="005E7794">
        <w:rPr>
          <w:color w:val="000000"/>
          <w:sz w:val="28"/>
          <w:szCs w:val="28"/>
        </w:rPr>
        <w:t>а «4» и «5» сдали тестирование 4 учащихся – 57% от всех учащихся, что на 19</w:t>
      </w:r>
      <w:r w:rsidRPr="00C23107">
        <w:rPr>
          <w:color w:val="000000"/>
          <w:sz w:val="28"/>
          <w:szCs w:val="28"/>
        </w:rPr>
        <w:t>% выше результатов предыдущего года.</w:t>
      </w:r>
    </w:p>
    <w:p w:rsidR="00B2105D" w:rsidRPr="00C23107" w:rsidRDefault="00B2105D" w:rsidP="00B2105D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Успеваемость по предметам составляет 100%, «2» по результатам тестирования нет, однако,</w:t>
      </w:r>
      <w:r w:rsidR="005E7794">
        <w:rPr>
          <w:color w:val="000000"/>
          <w:sz w:val="28"/>
          <w:szCs w:val="28"/>
        </w:rPr>
        <w:t xml:space="preserve"> один ученица – </w:t>
      </w:r>
      <w:proofErr w:type="spellStart"/>
      <w:r w:rsidR="005E7794">
        <w:rPr>
          <w:color w:val="000000"/>
          <w:sz w:val="28"/>
          <w:szCs w:val="28"/>
        </w:rPr>
        <w:t>Мержоева</w:t>
      </w:r>
      <w:proofErr w:type="spellEnd"/>
      <w:r w:rsidR="005E7794">
        <w:rPr>
          <w:color w:val="000000"/>
          <w:sz w:val="28"/>
          <w:szCs w:val="28"/>
        </w:rPr>
        <w:t xml:space="preserve"> Зарина</w:t>
      </w:r>
      <w:r w:rsidRPr="00C23107">
        <w:rPr>
          <w:color w:val="000000"/>
          <w:sz w:val="28"/>
          <w:szCs w:val="28"/>
        </w:rPr>
        <w:t xml:space="preserve"> не преодолел</w:t>
      </w:r>
      <w:r w:rsidR="005E7794">
        <w:rPr>
          <w:color w:val="000000"/>
          <w:sz w:val="28"/>
          <w:szCs w:val="28"/>
        </w:rPr>
        <w:t>а пороговый уровень, набрал 57 баллов  (проходной – 37</w:t>
      </w:r>
      <w:r w:rsidRPr="00C23107">
        <w:rPr>
          <w:color w:val="000000"/>
          <w:sz w:val="28"/>
          <w:szCs w:val="28"/>
        </w:rPr>
        <w:t>).</w:t>
      </w:r>
    </w:p>
    <w:p w:rsidR="00B2105D" w:rsidRPr="00C23107" w:rsidRDefault="00B2105D" w:rsidP="00B2105D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 xml:space="preserve">Результаты ЕНТ – это итог совместной деятельности администрации и педагогов школы.  По итогам ЕНТ выпускники школы  заняли  рейтинговую </w:t>
      </w:r>
      <w:r>
        <w:rPr>
          <w:color w:val="000000"/>
          <w:sz w:val="28"/>
          <w:szCs w:val="28"/>
        </w:rPr>
        <w:t xml:space="preserve">позицию </w:t>
      </w:r>
      <w:r w:rsidRPr="00C23107">
        <w:rPr>
          <w:color w:val="000000"/>
          <w:sz w:val="28"/>
          <w:szCs w:val="28"/>
        </w:rPr>
        <w:t>в первой десятке  школ по городу Павлодару.</w:t>
      </w:r>
    </w:p>
    <w:p w:rsidR="00B2105D" w:rsidRPr="00C23107" w:rsidRDefault="00B2105D" w:rsidP="00B2105D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 xml:space="preserve">Однако, учитывая </w:t>
      </w:r>
      <w:r w:rsidR="005E7794">
        <w:rPr>
          <w:color w:val="000000"/>
          <w:sz w:val="28"/>
          <w:szCs w:val="28"/>
        </w:rPr>
        <w:t xml:space="preserve">незначительную </w:t>
      </w:r>
      <w:r w:rsidRPr="00C23107">
        <w:rPr>
          <w:color w:val="000000"/>
          <w:sz w:val="28"/>
          <w:szCs w:val="28"/>
        </w:rPr>
        <w:t>положительную динамику результатов ЕНТ,</w:t>
      </w:r>
      <w:r w:rsidR="005E7794">
        <w:rPr>
          <w:color w:val="000000"/>
          <w:sz w:val="28"/>
          <w:szCs w:val="28"/>
        </w:rPr>
        <w:t xml:space="preserve"> </w:t>
      </w:r>
      <w:r w:rsidRPr="00C23107">
        <w:rPr>
          <w:color w:val="000000"/>
          <w:sz w:val="28"/>
          <w:szCs w:val="28"/>
        </w:rPr>
        <w:t>следует отметить проблемы:</w:t>
      </w:r>
    </w:p>
    <w:p w:rsidR="00B2105D" w:rsidRPr="00C23107" w:rsidRDefault="00B2105D" w:rsidP="005E7794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Низкую мотивацию школьников в ходе подготовки к ЕНТ, большое количество пропущенных занятий в течение учебного года выпускников 11 класса по болезни.</w:t>
      </w:r>
    </w:p>
    <w:p w:rsidR="00B2105D" w:rsidRPr="00C23107" w:rsidRDefault="00B2105D" w:rsidP="005E7794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Недостаточная индивидуальная работа учителей с учащимися по отдельным предметам</w:t>
      </w:r>
      <w:r w:rsidR="005E7794">
        <w:rPr>
          <w:color w:val="000000"/>
          <w:sz w:val="28"/>
          <w:szCs w:val="28"/>
        </w:rPr>
        <w:t xml:space="preserve"> </w:t>
      </w:r>
    </w:p>
    <w:p w:rsidR="00B2105D" w:rsidRPr="00C23107" w:rsidRDefault="00B2105D" w:rsidP="005E7794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Недопонимание значения подготовительных мероприятий отдельными родителями и учащихся для результатов итогового тестирования.</w:t>
      </w:r>
    </w:p>
    <w:p w:rsidR="00B2105D" w:rsidRPr="00C23107" w:rsidRDefault="00B2105D" w:rsidP="00B2105D">
      <w:pPr>
        <w:pStyle w:val="a3"/>
        <w:ind w:left="720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Исходя из этого, планируем следующие ключевые направления работы для повыш</w:t>
      </w:r>
      <w:r w:rsidR="005E7794">
        <w:rPr>
          <w:color w:val="000000"/>
          <w:sz w:val="28"/>
          <w:szCs w:val="28"/>
        </w:rPr>
        <w:t>ения результативности ЕНТ в 2015</w:t>
      </w:r>
      <w:r w:rsidRPr="00C23107">
        <w:rPr>
          <w:color w:val="000000"/>
          <w:sz w:val="28"/>
          <w:szCs w:val="28"/>
        </w:rPr>
        <w:t xml:space="preserve"> году:</w:t>
      </w:r>
    </w:p>
    <w:p w:rsidR="00B2105D" w:rsidRPr="00C23107" w:rsidRDefault="00B2105D" w:rsidP="00B210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стороны администрации: усилить </w:t>
      </w:r>
      <w:proofErr w:type="gramStart"/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стандартов образования по предметам:  математика, география, </w:t>
      </w:r>
      <w:r w:rsidR="005E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биология, история Казахстана</w:t>
      </w: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посещения уроков, консультаций, с выработкой конкретных рекомендаций, поставить вопрос о качестве преподавания данных предметов на ВШК</w:t>
      </w:r>
    </w:p>
    <w:p w:rsidR="00B2105D" w:rsidRPr="00C23107" w:rsidRDefault="00B2105D" w:rsidP="00B210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классным руководителям оказывать помощь родителям будущих выпускников по организации рациональной подготовки выпускников дома;</w:t>
      </w:r>
    </w:p>
    <w:p w:rsidR="00B2105D" w:rsidRPr="00C23107" w:rsidRDefault="00B2105D" w:rsidP="00B210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администрации, классным руководителям вести разъяснительную </w:t>
      </w:r>
      <w:proofErr w:type="spellStart"/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с выпускниками о правилах итоговой аттестации, правилах зачисления в ВУЗы, колледжи, лицеи, для помощи в выборе формы итоговой аттестации и при определении профессии. </w:t>
      </w:r>
    </w:p>
    <w:p w:rsidR="00B2105D" w:rsidRPr="00C23107" w:rsidRDefault="00B2105D" w:rsidP="00B210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внедрение положительного опыта работы координационного совета по ЕНТ;</w:t>
      </w:r>
    </w:p>
    <w:p w:rsidR="00B2105D" w:rsidRPr="00C23107" w:rsidRDefault="00B2105D" w:rsidP="00B210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при формировании рабочего учебного плана изыскивать часы на подготовку к ЕНТ  в рамках предметов по выбору;</w:t>
      </w: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2105D" w:rsidRPr="00C23107" w:rsidRDefault="00B2105D" w:rsidP="00B210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Доработать и получить лицензии на спецкурсы по предметам, разработанным и апробированным учителями школы по подготовке к ЕНТ;</w:t>
      </w:r>
    </w:p>
    <w:p w:rsidR="00B2105D" w:rsidRPr="00C23107" w:rsidRDefault="00B2105D" w:rsidP="00B210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Администрации, учителям-предметникам организовывать консультационные занятия по предметам ЕНТ, начиная с сентября для учащихся;</w:t>
      </w:r>
    </w:p>
    <w:p w:rsidR="00B2105D" w:rsidRPr="00C23107" w:rsidRDefault="00B2105D" w:rsidP="00B210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уроков учитывать необходимость опережающего обучения (в частности, по математике, физике, истории Казахстана) с использованием нестандартных задач, задач повышенного и логического уровня;</w:t>
      </w:r>
    </w:p>
    <w:p w:rsidR="00B2105D" w:rsidRPr="00C23107" w:rsidRDefault="00B2105D" w:rsidP="00B210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учителям-предметникам продолжить работу по отслеживанию качества знаний учащихся по итогам всех пробных ЕНТ внутри школы, с поэлементным анализом результатов и выработкой рекомендаций для каждого ученика индивидуально.</w:t>
      </w:r>
    </w:p>
    <w:p w:rsidR="00B2105D" w:rsidRPr="00C23107" w:rsidRDefault="00B2105D" w:rsidP="00B210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Психологу школы продолжить работу по выявлению учащихся, склонных к перемене настроения, теряющихся в новой, незнакомой обстановке и корректировке поведенческого фактора;</w:t>
      </w:r>
    </w:p>
    <w:p w:rsidR="00B2105D" w:rsidRPr="00C23107" w:rsidRDefault="00B2105D" w:rsidP="00B210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работу по проведению электронного тестирования на республиканских и </w:t>
      </w:r>
      <w:proofErr w:type="gramStart"/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местном</w:t>
      </w:r>
      <w:proofErr w:type="gramEnd"/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сайтах, подготовку к ЕНТ с помощью электронных пособий по всем предметам ЕНТ </w:t>
      </w:r>
    </w:p>
    <w:p w:rsidR="00B2105D" w:rsidRDefault="00B2105D" w:rsidP="00B2105D">
      <w:pPr>
        <w:rPr>
          <w:rFonts w:ascii="Times New Roman" w:hAnsi="Times New Roman" w:cs="Times New Roman"/>
          <w:sz w:val="28"/>
          <w:szCs w:val="28"/>
        </w:rPr>
      </w:pPr>
    </w:p>
    <w:p w:rsidR="00B2105D" w:rsidRDefault="00B2105D" w:rsidP="00B2105D">
      <w:pPr>
        <w:rPr>
          <w:rFonts w:ascii="Times New Roman" w:hAnsi="Times New Roman" w:cs="Times New Roman"/>
          <w:sz w:val="28"/>
          <w:szCs w:val="28"/>
        </w:rPr>
      </w:pPr>
    </w:p>
    <w:p w:rsidR="00B2105D" w:rsidRDefault="00B2105D">
      <w:pPr>
        <w:rPr>
          <w:rFonts w:ascii="Times New Roman" w:hAnsi="Times New Roman" w:cs="Times New Roman"/>
          <w:sz w:val="28"/>
          <w:szCs w:val="28"/>
        </w:rPr>
      </w:pPr>
    </w:p>
    <w:p w:rsidR="00B2105D" w:rsidRPr="00C23107" w:rsidRDefault="00B2105D">
      <w:pPr>
        <w:rPr>
          <w:rFonts w:ascii="Times New Roman" w:hAnsi="Times New Roman" w:cs="Times New Roman"/>
          <w:sz w:val="28"/>
          <w:szCs w:val="28"/>
        </w:rPr>
      </w:pPr>
    </w:p>
    <w:sectPr w:rsidR="00B2105D" w:rsidRPr="00C23107" w:rsidSect="00FA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89D"/>
    <w:multiLevelType w:val="multilevel"/>
    <w:tmpl w:val="E318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56195"/>
    <w:multiLevelType w:val="hybridMultilevel"/>
    <w:tmpl w:val="3B2E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05890"/>
    <w:multiLevelType w:val="hybridMultilevel"/>
    <w:tmpl w:val="0CE89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2ED2"/>
    <w:rsid w:val="00007C49"/>
    <w:rsid w:val="00043D60"/>
    <w:rsid w:val="00072CAB"/>
    <w:rsid w:val="000816E4"/>
    <w:rsid w:val="000C2ED2"/>
    <w:rsid w:val="0019405B"/>
    <w:rsid w:val="00221EC9"/>
    <w:rsid w:val="003F61DF"/>
    <w:rsid w:val="00521567"/>
    <w:rsid w:val="005A4971"/>
    <w:rsid w:val="005C08A4"/>
    <w:rsid w:val="005E7794"/>
    <w:rsid w:val="00777B73"/>
    <w:rsid w:val="008A2BAC"/>
    <w:rsid w:val="00903D8E"/>
    <w:rsid w:val="00A80036"/>
    <w:rsid w:val="00B2105D"/>
    <w:rsid w:val="00BC1F53"/>
    <w:rsid w:val="00C23107"/>
    <w:rsid w:val="00C26862"/>
    <w:rsid w:val="00CD1264"/>
    <w:rsid w:val="00D930CF"/>
    <w:rsid w:val="00EA768B"/>
    <w:rsid w:val="00F80AC8"/>
    <w:rsid w:val="00FA4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7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C1F53"/>
  </w:style>
  <w:style w:type="character" w:customStyle="1" w:styleId="apple-converted-space">
    <w:name w:val="apple-converted-space"/>
    <w:basedOn w:val="a0"/>
    <w:rsid w:val="00BC1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Учитель</cp:lastModifiedBy>
  <cp:revision>5</cp:revision>
  <cp:lastPrinted>2013-06-17T07:11:00Z</cp:lastPrinted>
  <dcterms:created xsi:type="dcterms:W3CDTF">2014-06-04T16:19:00Z</dcterms:created>
  <dcterms:modified xsi:type="dcterms:W3CDTF">2014-09-15T03:30:00Z</dcterms:modified>
</cp:coreProperties>
</file>