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0eeb" w14:textId="ca20eeb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Требований к обязательной школьной форме для организаций 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>
     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подпунктом 14-1)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«Об образовании» </w:t>
      </w:r>
      <w:r>
        <w:rPr>
          <w:rFonts w:ascii="Consolas"/>
          <w:b/>
          <w:i w:val="false"/>
          <w:color w:val="000000"/>
          <w:sz w:val="20"/>
        </w:rPr>
        <w:t>ПРИКАЗЫВАЮ: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Утвердить прилагаемые </w:t>
      </w:r>
      <w:r>
        <w:rPr>
          <w:rFonts w:ascii="Consolas"/>
          <w:b w:val="false"/>
          <w:i w:val="false"/>
          <w:color w:val="000000"/>
          <w:sz w:val="20"/>
        </w:rPr>
        <w:t>Требования</w:t>
      </w:r>
      <w:r>
        <w:rPr>
          <w:rFonts w:ascii="Consolas"/>
          <w:b w:val="false"/>
          <w:i w:val="false"/>
          <w:color w:val="000000"/>
          <w:sz w:val="20"/>
        </w:rPr>
        <w:t xml:space="preserve"> к обязательной школьной форме для организаций среднего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настоящее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Министр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   А. Саринжипов</w:t>
      </w:r>
    </w:p>
    <w:bookmarkStart w:name="z6" w:id="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Утверждены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приказом Министра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14 января 2016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№ 26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Требования к обязательной школьной форме для организаций</w:t>
      </w:r>
      <w:r>
        <w:br/>
      </w:r>
      <w:r>
        <w:rPr>
          <w:rFonts w:ascii="Consolas"/>
          <w:b/>
          <w:i w:val="false"/>
          <w:color w:val="000000"/>
        </w:rPr>
        <w:t>
среднего образования 1. Общие положения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Настоящие Требования к обязательной школьной форме для организаций среднего образования (далее-Требования) разработаны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подпунктом 14-1)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«Об образовании» для обеспечения обучающихся качественной школьной формой.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обучающимися организаций среднего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 </w:t>
      </w:r>
      <w:r>
        <w:rPr>
          <w:rFonts w:ascii="Consolas"/>
          <w:b w:val="false"/>
          <w:i w:val="false"/>
          <w:color w:val="000000"/>
          <w:sz w:val="20"/>
        </w:rPr>
        <w:t>попечительский совет</w:t>
      </w:r>
      <w:r>
        <w:rPr>
          <w:rFonts w:ascii="Consolas"/>
          <w:b w:val="false"/>
          <w:i w:val="false"/>
          <w:color w:val="000000"/>
          <w:sz w:val="20"/>
        </w:rPr>
        <w:t>, родительский комитет) в соблюдении светского характера обучения.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2. Требования к обязательной школьной форме для</w:t>
      </w:r>
      <w:r>
        <w:br/>
      </w:r>
      <w:r>
        <w:rPr>
          <w:rFonts w:ascii="Consolas"/>
          <w:b/>
          <w:i w:val="false"/>
          <w:color w:val="000000"/>
        </w:rPr>
        <w:t>
организаций среднего образования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 Школьная форма вводится с учетом возрастных особенностей обучающихся.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7. Школьная форма подразделяется на повседневную, парадную и спортивную.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8. Школьная форма для мальчиков включает: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пиджак, жилет, брюки, парадную рубашку, повседневную рубашку (зимний период: трикотажный жилет, водолазку). Брюки для мальчиков свободного кроя, и по длине закрывают щиколотки ног.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9. Школьная форма для девочек включает: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пиджак, жилет, юбку, брюки, классическую блузу (зимний период: трикотажный жилет, сарафан, водолазку). Брюки для девочек свободного кроя, и по длине закрывают щиколотки ног.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10. Парадная форма для мальчиков состоит из повседневной формы, дополненной белой рубашкой, для девочек - белой блузкой.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11. Спортивная форма для мальчиков и девочек включает: спортивный костюм (спортивные брюки, футболка), спортивную обувь (кроссовки, кеды).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12. Школьная форма включает галстук классической формы, соответствующий основному цвету или в контрасте к цвету школьной формы.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13. Включение элементов одежды религиозной принадлежности различных конфессий в школьную форму не допускается.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В пункт 13 внесено изменение на государственном языке, текст на русском языке не изменяется в соответствии с приказом Министра образования и науки РК от 04.04.2016 </w:t>
      </w:r>
      <w:r>
        <w:rPr>
          <w:rFonts w:ascii="Consolas"/>
          <w:b w:val="false"/>
          <w:i w:val="false"/>
          <w:color w:val="000000"/>
          <w:sz w:val="20"/>
        </w:rPr>
        <w:t>№ 248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16. Требования к школьной форме исключают ношение одежды и аксессуаров с травмирующей фурнитурой.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17. При внедрении школьной формы обращается внимание на состав тканей.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20. Введение изменений в школьную форму принимается по согласованию с общественным советом.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3. Исполнение Требований к обязательной школьной форме для</w:t>
      </w:r>
      <w:r>
        <w:br/>
      </w:r>
      <w:r>
        <w:rPr>
          <w:rFonts w:ascii="Consolas"/>
          <w:b/>
          <w:i w:val="false"/>
          <w:color w:val="000000"/>
        </w:rPr>
        <w:t>
организаций среднего образования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22. Руководитель организаций среднего образования (далее - Руководитель) и общественный совет (совет школы, </w:t>
      </w:r>
      <w:r>
        <w:rPr>
          <w:rFonts w:ascii="Consolas"/>
          <w:b w:val="false"/>
          <w:i w:val="false"/>
          <w:color w:val="000000"/>
          <w:sz w:val="20"/>
        </w:rPr>
        <w:t>попечительский совет</w:t>
      </w:r>
      <w:r>
        <w:rPr>
          <w:rFonts w:ascii="Consolas"/>
          <w:b w:val="false"/>
          <w:i w:val="false"/>
          <w:color w:val="000000"/>
          <w:sz w:val="20"/>
        </w:rPr>
        <w:t>, родительский комитет) при введении обязательной школьной формы руководствуется настоящими Требованиями.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24. Областные, городов Астаны и Алматы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В пункт 24 внесено изменение на государственном языке, текст на русском языке не изменяется в соответствии с приказом Министра образования и науки РК от 04.04.2016 </w:t>
      </w:r>
      <w:r>
        <w:rPr>
          <w:rFonts w:ascii="Consolas"/>
          <w:b w:val="false"/>
          <w:i w:val="false"/>
          <w:color w:val="000000"/>
          <w:sz w:val="20"/>
        </w:rPr>
        <w:t>№ 248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25. Руководитель обеспечивает утверждение школьной формы до 25 мая учебного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26. Руководитель выносит вопрос соблюдения школьной формы обучающимися на общественный совет.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27. Руководитель ознакомливает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