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24D" w:rsidRDefault="0019424D" w:rsidP="0019424D">
      <w:pPr>
        <w:jc w:val="center"/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</w:pPr>
      <w:bookmarkStart w:id="0" w:name="_GoBack"/>
      <w:bookmarkEnd w:id="0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Об утверждении Типовых правил проведения внутреннего анализа коррупционных рисков</w:t>
      </w:r>
    </w:p>
    <w:p w:rsidR="0019424D" w:rsidRDefault="0019424D" w:rsidP="0019424D">
      <w:pPr>
        <w:jc w:val="center"/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t>Приказ Председателя Агентства Республики Казахстан по делам государственной службы и противодействию коррупции от 19 октября 2016 года № 12. Зарегистрирован в Министерстве юстиции Республики Казахстан 21 ноября 2016 года № 14441.</w:t>
      </w:r>
    </w:p>
    <w:p w:rsidR="0019424D" w:rsidRDefault="0019424D" w:rsidP="0019424D">
      <w:pPr>
        <w:rPr>
          <w:rFonts w:ascii="Zan Courier New" w:eastAsia="Times New Roman" w:hAnsi="Zan Courier New" w:cs="Zan Courier New"/>
          <w:sz w:val="20"/>
          <w:szCs w:val="20"/>
        </w:rPr>
      </w:pPr>
    </w:p>
    <w:p w:rsidR="0019424D" w:rsidRDefault="009A37B7" w:rsidP="0019424D">
      <w:pPr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pict>
          <v:rect id="_x0000_i1025" style="width:0;height:1.5pt" o:hralign="center" o:hrstd="t" o:hrnoshade="t" o:hr="t" fillcolor="#a0a0a0" stroked="f"/>
        </w:pict>
      </w:r>
    </w:p>
    <w:p w:rsidR="0019424D" w:rsidRDefault="0019424D" w:rsidP="0019424D">
      <w:pPr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br/>
        <w:t xml:space="preserve">      В соответствии с пунктом 5 статьи 8 Закона Республики Казахстан от 18 ноября 2015 года "О противодействии коррупции" </w:t>
      </w:r>
      <w:r>
        <w:rPr>
          <w:rFonts w:ascii="Zan Courier New" w:eastAsia="Times New Roman" w:hAnsi="Zan Courier New" w:cs="Zan Courier New"/>
          <w:b/>
          <w:bCs/>
          <w:sz w:val="20"/>
          <w:szCs w:val="20"/>
        </w:rPr>
        <w:t>ПРИКАЗЫВАЮ: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1. Утвердить прилагаемые Типовые правила проведения внутреннего анализа коррупционных рисков.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2. Признать утратившим силу</w:t>
      </w:r>
      <w:r>
        <w:rPr>
          <w:rFonts w:ascii="Zan Courier New" w:eastAsia="Times New Roman" w:hAnsi="Zan Courier New" w:cs="Zan Courier New"/>
          <w:b/>
          <w:bCs/>
          <w:sz w:val="20"/>
          <w:szCs w:val="20"/>
        </w:rPr>
        <w:t xml:space="preserve"> </w:t>
      </w:r>
      <w:r>
        <w:rPr>
          <w:rFonts w:ascii="Zan Courier New" w:eastAsia="Times New Roman" w:hAnsi="Zan Courier New" w:cs="Zan Courier New"/>
          <w:sz w:val="20"/>
          <w:szCs w:val="20"/>
        </w:rPr>
        <w:t>приказ Министра по делам государственной службы Республики Казахстан от 29 декабря 2015 года № 18 "Об утверждении Типовых правил проведения внутреннего анализа коррупционных рисков" (зарегистрированный в Реестре государственной регистрации нормативных правовых актов за № 12651, опубликованный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15 января 2016 года в информационно-правовой системе "</w:t>
      </w:r>
      <w:proofErr w:type="spellStart"/>
      <w:r>
        <w:rPr>
          <w:rFonts w:ascii="Zan Courier New" w:eastAsia="Times New Roman" w:hAnsi="Zan Courier New" w:cs="Zan Courier New"/>
          <w:sz w:val="20"/>
          <w:szCs w:val="20"/>
        </w:rPr>
        <w:t>Јділет</w:t>
      </w:r>
      <w:proofErr w:type="spellEnd"/>
      <w:r>
        <w:rPr>
          <w:rFonts w:ascii="Zan Courier New" w:eastAsia="Times New Roman" w:hAnsi="Zan Courier New" w:cs="Zan Courier New"/>
          <w:sz w:val="20"/>
          <w:szCs w:val="20"/>
        </w:rPr>
        <w:t>").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3. Департаменту антикоррупционной политики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1) государственную регистрацию настоящего приказа в Министерстве юстиции Республики Казахстан;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информационно-правовой системе "</w:t>
      </w:r>
      <w:proofErr w:type="spellStart"/>
      <w:r>
        <w:rPr>
          <w:rFonts w:ascii="Zan Courier New" w:eastAsia="Times New Roman" w:hAnsi="Zan Courier New" w:cs="Zan Courier New"/>
          <w:sz w:val="20"/>
          <w:szCs w:val="20"/>
        </w:rPr>
        <w:t>Јділет</w:t>
      </w:r>
      <w:proofErr w:type="spellEnd"/>
      <w:r>
        <w:rPr>
          <w:rFonts w:ascii="Zan Courier New" w:eastAsia="Times New Roman" w:hAnsi="Zan Courier New" w:cs="Zan Courier New"/>
          <w:sz w:val="20"/>
          <w:szCs w:val="20"/>
        </w:rPr>
        <w:t>";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3) в течение десяти календарных дней со дня государственной регистрации настоящего приказа направление его копии на официальное опубликование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Эталонный контрольный банк нормативных правовых актов Республики Казахстан;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 xml:space="preserve">      4) размещение настоящего приказа на </w:t>
      </w:r>
      <w:proofErr w:type="spellStart"/>
      <w:r>
        <w:rPr>
          <w:rFonts w:ascii="Zan Courier New" w:eastAsia="Times New Roman" w:hAnsi="Zan Courier New" w:cs="Zan Courier New"/>
          <w:sz w:val="20"/>
          <w:szCs w:val="20"/>
        </w:rPr>
        <w:t>интернет-ресурсе</w:t>
      </w:r>
      <w:proofErr w:type="spellEnd"/>
      <w:r>
        <w:rPr>
          <w:rFonts w:ascii="Zan Courier New" w:eastAsia="Times New Roman" w:hAnsi="Zan Courier New" w:cs="Zan Courier New"/>
          <w:sz w:val="20"/>
          <w:szCs w:val="20"/>
        </w:rPr>
        <w:t xml:space="preserve"> Агентства Республики Казахстан по делам государственной службы и противодействию </w:t>
      </w:r>
      <w:proofErr w:type="gramStart"/>
      <w:r>
        <w:rPr>
          <w:rFonts w:ascii="Zan Courier New" w:eastAsia="Times New Roman" w:hAnsi="Zan Courier New" w:cs="Zan Courier New"/>
          <w:sz w:val="20"/>
          <w:szCs w:val="20"/>
        </w:rPr>
        <w:t>коррупции</w:t>
      </w:r>
      <w:proofErr w:type="gramEnd"/>
      <w:r>
        <w:rPr>
          <w:rFonts w:ascii="Zan Courier New" w:eastAsia="Times New Roman" w:hAnsi="Zan Courier New" w:cs="Zan Courier New"/>
          <w:sz w:val="20"/>
          <w:szCs w:val="20"/>
        </w:rPr>
        <w:t>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4.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противодействия коррупции.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5. Настоящий приказ вводится в действие со дня его первого официального опубликования.</w:t>
      </w:r>
    </w:p>
    <w:tbl>
      <w:tblPr>
        <w:tblW w:w="922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998"/>
        <w:gridCol w:w="2227"/>
      </w:tblGrid>
      <w:tr w:rsidR="0019424D" w:rsidTr="008F775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9424D" w:rsidRDefault="0019424D" w:rsidP="008F775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t>Председатель Агентства Республики Казахстан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9424D" w:rsidRDefault="0019424D" w:rsidP="008F775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t> </w:t>
            </w:r>
          </w:p>
        </w:tc>
      </w:tr>
      <w:tr w:rsidR="0019424D" w:rsidTr="008F775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9424D" w:rsidRDefault="0019424D" w:rsidP="008F775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t>по делам государственной службы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9424D" w:rsidRDefault="0019424D" w:rsidP="008F775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t> </w:t>
            </w:r>
          </w:p>
        </w:tc>
      </w:tr>
      <w:tr w:rsidR="0019424D" w:rsidTr="008F775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9424D" w:rsidRDefault="0019424D" w:rsidP="008F775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t>и противодействию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9424D" w:rsidRDefault="0019424D" w:rsidP="008F775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t xml:space="preserve">К. </w:t>
            </w:r>
            <w:proofErr w:type="spellStart"/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t>Кожамжаров</w:t>
            </w:r>
            <w:proofErr w:type="spellEnd"/>
          </w:p>
        </w:tc>
      </w:tr>
    </w:tbl>
    <w:p w:rsidR="0019424D" w:rsidRDefault="0019424D" w:rsidP="0019424D">
      <w:pPr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t>      </w:t>
      </w:r>
    </w:p>
    <w:tbl>
      <w:tblPr>
        <w:tblW w:w="0" w:type="auto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9424D" w:rsidTr="008F7756">
        <w:trPr>
          <w:tblCellSpacing w:w="15" w:type="dxa"/>
          <w:jc w:val="right"/>
        </w:trPr>
        <w:tc>
          <w:tcPr>
            <w:tcW w:w="5805" w:type="dxa"/>
            <w:vAlign w:val="center"/>
            <w:hideMark/>
          </w:tcPr>
          <w:p w:rsidR="0019424D" w:rsidRDefault="0019424D" w:rsidP="008F775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19424D" w:rsidRDefault="0019424D" w:rsidP="008F775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t>Утверждены</w:t>
            </w: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br/>
              <w:t>приказом Председателя Агентства</w:t>
            </w: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br/>
              <w:t>Республики Казахстан по делам</w:t>
            </w: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br/>
              <w:t>государственной службы</w:t>
            </w: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br/>
              <w:t>и противодействию коррупции</w:t>
            </w: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br/>
              <w:t>от 19 октября 2016 года № 12</w:t>
            </w:r>
          </w:p>
        </w:tc>
      </w:tr>
    </w:tbl>
    <w:p w:rsidR="0019424D" w:rsidRDefault="0019424D" w:rsidP="0019424D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Типовые правила проведения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br/>
        <w:t>внутреннего анализа коррупционных рисков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br/>
        <w:t>Глава 1. Общие положения</w:t>
      </w:r>
    </w:p>
    <w:p w:rsidR="0019424D" w:rsidRDefault="0019424D" w:rsidP="0019424D">
      <w:pPr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t xml:space="preserve">      1. Настоящие Типовые правила проведения внутреннего анализа коррупционных рисков (далее – Типовые правила) разработаны в соответствии с пунктом 5 статьи 8 Закона Республики Казахстан "О противодействии коррупции" и определяют порядок проведения внутреннего анализа коррупционных рисков государственными органами, организациями и субъектами </w:t>
      </w:r>
      <w:proofErr w:type="spellStart"/>
      <w:r>
        <w:rPr>
          <w:rFonts w:ascii="Zan Courier New" w:eastAsia="Times New Roman" w:hAnsi="Zan Courier New" w:cs="Zan Courier New"/>
          <w:sz w:val="20"/>
          <w:szCs w:val="20"/>
        </w:rPr>
        <w:t>квазигосударственного</w:t>
      </w:r>
      <w:proofErr w:type="spellEnd"/>
      <w:r>
        <w:rPr>
          <w:rFonts w:ascii="Zan Courier New" w:eastAsia="Times New Roman" w:hAnsi="Zan Courier New" w:cs="Zan Courier New"/>
          <w:sz w:val="20"/>
          <w:szCs w:val="20"/>
        </w:rPr>
        <w:t xml:space="preserve"> сектора (далее – субъекты внутреннего анализа коррупционных рисков).</w:t>
      </w:r>
    </w:p>
    <w:p w:rsidR="0019424D" w:rsidRDefault="0019424D" w:rsidP="0019424D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Глава 2. Порядок проведения внутреннего анализа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br/>
        <w:t>коррупционных рисков</w:t>
      </w:r>
    </w:p>
    <w:p w:rsidR="0019424D" w:rsidRDefault="0019424D" w:rsidP="0019424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Zan Courier New" w:eastAsia="Times New Roman" w:hAnsi="Zan Courier New" w:cs="Zan Courier New"/>
          <w:sz w:val="20"/>
          <w:szCs w:val="20"/>
        </w:rPr>
        <w:t>      2. Основанием для проведения внутреннего анализа коррупционных рисков является решение руководителя субъекта внутреннего анализа коррупционных рисков, при его отсутствии – лица, исполняющего его обязанности либо замещающего его должность.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3. Решение о проведении внутреннего анализа коррупционных рисков принимается, в том числе на основании результатов антикоррупционного мониторинга.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 xml:space="preserve">      При этом, в настоящих Типовых правилах под руководителями субъекта внутреннего анализа коррупционных рисков понимаются руководители государственного органа и его ведомства, организации, а также руководители субъектов </w:t>
      </w:r>
      <w:proofErr w:type="spellStart"/>
      <w:r>
        <w:rPr>
          <w:rFonts w:ascii="Zan Courier New" w:eastAsia="Times New Roman" w:hAnsi="Zan Courier New" w:cs="Zan Courier New"/>
          <w:sz w:val="20"/>
          <w:szCs w:val="20"/>
        </w:rPr>
        <w:t>квазигосударственного</w:t>
      </w:r>
      <w:proofErr w:type="spellEnd"/>
      <w:r>
        <w:rPr>
          <w:rFonts w:ascii="Zan Courier New" w:eastAsia="Times New Roman" w:hAnsi="Zan Courier New" w:cs="Zan Courier New"/>
          <w:sz w:val="20"/>
          <w:szCs w:val="20"/>
        </w:rPr>
        <w:t xml:space="preserve"> сектора, осуществляющие текущее руководство их деятельностью.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4. Внутренний анализ коррупционных рисков проводится структурным подразделением, лицом, уполномоченным на проведение внутреннего анализа коррупционных рисков, определяемым первым руководителем субъекта внутреннего анализа коррупционных рисков, или создаваемой его решением рабочей группой.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По решению первого руководителя в состав рабочей группы привлекаются специалисты и (или) эксперты иных субъектов противодействия коррупции.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5. Объектом внутреннего анализа коррупционных рисков является деятельность структурного подразделения, ведомства, подведомственной организации, территориального и приравненного к нему подразделения субъекта внутреннего анализа коррупционных рисков (далее – подразделение).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6. Решение о проведении внутреннего анализа коррупционных рисков содержит следующую информацию: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1) наименование подразделения, деятельность которого подлежит внутреннему анализу коррупционных рисков;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2) направление внутреннего анализа коррупционных рисков в соответствии с пунктом 8 настоящих Типовых правил;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3) о структурном подразделении, должностном лице (должностных лицах) или персональном составе рабочей группы, которая проводит внутренний анализ коррупционных рисков;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4) период проведения внутреннего анализа коррупционных рисков;</w:t>
      </w:r>
      <w:r>
        <w:rPr>
          <w:rFonts w:ascii="Zan Courier New" w:eastAsia="Times New Roman" w:hAnsi="Zan Courier New" w:cs="Zan Courier New"/>
          <w:sz w:val="20"/>
          <w:szCs w:val="20"/>
        </w:rPr>
        <w:br/>
      </w:r>
      <w:r>
        <w:rPr>
          <w:rFonts w:ascii="Zan Courier New" w:eastAsia="Times New Roman" w:hAnsi="Zan Courier New" w:cs="Zan Courier New"/>
          <w:sz w:val="20"/>
          <w:szCs w:val="20"/>
        </w:rPr>
        <w:lastRenderedPageBreak/>
        <w:t>      5) о должностном лице субъекта внутреннего анализа коррупционных рисков, на которое возлагается руководство, координация и ответственность за проведение внутреннего анализа коррупционных рисков и результаты работы.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 xml:space="preserve">      7. Периодичность проведения внутреннего анализа коррупционных рисков определяется субъектами внутреннего анализа коррупционных рисков. 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8. Внутренний анализ коррупционных рисков осуществляется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по следующим направлениям: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1) выявление коррупционных рисков в нормативных правовых актах, затрагивающих деятельность подразделения;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2) выявление коррупционных рисков в организационно-управленческой деятельности подразделения.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 xml:space="preserve">      9. В нормативных правовых актах, затрагивающих деятельность подразделения, выявляются дискреционные полномочия и нормы, способствующие совершению коррупционных правонарушений. </w:t>
      </w:r>
      <w:r>
        <w:rPr>
          <w:rFonts w:ascii="Zan Courier New" w:eastAsia="Times New Roman" w:hAnsi="Zan Courier New" w:cs="Zan Courier New"/>
          <w:sz w:val="20"/>
          <w:szCs w:val="20"/>
        </w:rPr>
        <w:br/>
        <w:t xml:space="preserve">      10. Под организационно-управленческой деятельностью подразделения понимаются вопросы: </w:t>
      </w:r>
      <w:r>
        <w:rPr>
          <w:rFonts w:ascii="Zan Courier New" w:eastAsia="Times New Roman" w:hAnsi="Zan Courier New" w:cs="Zan Courier New"/>
          <w:sz w:val="20"/>
          <w:szCs w:val="20"/>
        </w:rPr>
        <w:br/>
        <w:t xml:space="preserve">      1) управления персоналом, в том числе сменяемость кадров; 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2) урегулирования конфликта интересов;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3) оказания государственных услуг;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4) реализации разрешительных функций;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5) реализации контрольных функций;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6) иные вопросы, вытекающие из организационно-управленческой деятельности подразделения.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11. Источниками информации для проведения внутреннего анализа коррупционных рисков являются:</w:t>
      </w:r>
      <w:r>
        <w:rPr>
          <w:rFonts w:ascii="Zan Courier New" w:eastAsia="Times New Roman" w:hAnsi="Zan Courier New" w:cs="Zan Courier New"/>
          <w:sz w:val="20"/>
          <w:szCs w:val="20"/>
        </w:rPr>
        <w:br/>
        <w:t xml:space="preserve">      1) нормативные правовые акты, затрагивающие деятельность подразделения; </w:t>
      </w:r>
      <w:r>
        <w:rPr>
          <w:rFonts w:ascii="Zan Courier New" w:eastAsia="Times New Roman" w:hAnsi="Zan Courier New" w:cs="Zan Courier New"/>
          <w:sz w:val="20"/>
          <w:szCs w:val="20"/>
        </w:rPr>
        <w:br/>
        <w:t xml:space="preserve">      2) результаты проверок, ранее проведенных государственными органами в отношении подразделения; 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3) публикации в средствах массовой информации;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4) обращения физических и юридических лиц, поступившие</w:t>
      </w:r>
      <w:r>
        <w:rPr>
          <w:rFonts w:ascii="Zan Courier New" w:eastAsia="Times New Roman" w:hAnsi="Zan Courier New" w:cs="Zan Courier New"/>
          <w:sz w:val="20"/>
          <w:szCs w:val="20"/>
        </w:rPr>
        <w:br/>
        <w:t xml:space="preserve">      в подразделение; 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5) акты прокурорского надзора;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6) судебные акты;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7) иные сведения, предоставление которых допускается законодательством Республики Казахстан.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12. По результатам внутреннего анализа коррупционных рисков готовится аналитическая справка, содержащая: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1) информацию о выявленных коррупционных рисках;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2) рекомендации по их устранению;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3) сроки реализации рекомендации по устранению выявленных коррупционных рисков.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13. Аналитическая справка согласовывается лицами, проводившими внутренний анализ коррупционных рисков, руководителем подразделения,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в деятельности которого проведен анализ коррупционных рисков,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и подписывается должностным лицом, указанным в подпункте 5) пункта 6 настоящих Типовых правил.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14. Аналитическая справка с рекомендациями по устранению выявленных коррупционных рисков вносится первому руководителю субъекта внутреннего анализа коррупционных рисков для рассмотрения и принятия мер.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 xml:space="preserve">      15. Результаты внутреннего анализа коррупционных рисков и информация о принятых (принимаемых) мерах по устранению коррупционных рисков размещаются на </w:t>
      </w:r>
      <w:proofErr w:type="spellStart"/>
      <w:r>
        <w:rPr>
          <w:rFonts w:ascii="Zan Courier New" w:eastAsia="Times New Roman" w:hAnsi="Zan Courier New" w:cs="Zan Courier New"/>
          <w:sz w:val="20"/>
          <w:szCs w:val="20"/>
        </w:rPr>
        <w:t>интернет-ресурсе</w:t>
      </w:r>
      <w:proofErr w:type="spellEnd"/>
      <w:r>
        <w:rPr>
          <w:rFonts w:ascii="Zan Courier New" w:eastAsia="Times New Roman" w:hAnsi="Zan Courier New" w:cs="Zan Courier New"/>
          <w:sz w:val="20"/>
          <w:szCs w:val="20"/>
        </w:rPr>
        <w:t xml:space="preserve"> субъекта внутреннего анализа коррупционных рисков.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16. Допускается публичное обсуждение результатов внутреннего анализа коррупционных рисков, в том числе на заседаниях коллегиальных, консультативно-совещательных органов по противодействию коррупции субъекта внутреннего анализа коррупционных рисков.</w:t>
      </w:r>
    </w:p>
    <w:p w:rsidR="005E16FF" w:rsidRDefault="005E16FF"/>
    <w:sectPr w:rsidR="005E1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9424D"/>
    <w:rsid w:val="0019424D"/>
    <w:rsid w:val="005E16FF"/>
    <w:rsid w:val="009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2BBB462-7205-4715-8515-28076BB4E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42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1249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Мержоев</dc:creator>
  <cp:keywords/>
  <dc:description/>
  <cp:lastModifiedBy>пользователь</cp:lastModifiedBy>
  <cp:revision>2</cp:revision>
  <dcterms:created xsi:type="dcterms:W3CDTF">2017-10-23T11:01:00Z</dcterms:created>
  <dcterms:modified xsi:type="dcterms:W3CDTF">2017-10-23T11:01:00Z</dcterms:modified>
</cp:coreProperties>
</file>