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3dfe" w14:textId="30e83dfe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регламента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Утративший силу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Постановление акимата города Сатпаев Карагандинской области от 6 февраля 2013 года N 02/37. Зарегистрировано Департаментом юстиции Карагандинской области 20 марта 2013 года N 2257. Утратило силу постановлением акимата города Сатпаев Карагандинской области от 27 мая 2013 года N 12/18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Сноска. Утратило силу постановлением акимата города Сатпаев Карагандинской области от 27.05.2013 N 12/18.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  Примечание РЦПИ.</w:t>
      </w:r>
      <w:r>
        <w:br/>
      </w:r>
      <w:r>
        <w:rPr>
          <w:b w:val="false"/>
          <w:i w:val="false"/>
          <w:color w:val="ff0000"/>
          <w:sz w:val="20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соответствии с Законами Республики Казахстан "</w:t>
      </w:r>
      <w:r>
        <w:rPr>
          <w:b w:val="false"/>
          <w:i w:val="false"/>
          <w:color w:val="000000"/>
          <w:sz w:val="20"/>
        </w:rPr>
        <w:t>Об административных процедурах</w:t>
      </w:r>
      <w:r>
        <w:rPr>
          <w:b w:val="false"/>
          <w:i w:val="false"/>
          <w:color w:val="000000"/>
          <w:sz w:val="20"/>
        </w:rPr>
        <w:t>" от 27 ноября 2000 года, "</w:t>
      </w:r>
      <w:r>
        <w:rPr>
          <w:b w:val="false"/>
          <w:i w:val="false"/>
          <w:color w:val="000000"/>
          <w:sz w:val="20"/>
        </w:rPr>
        <w:t>О местном государственном управлении и самоуправлении в Республике Казахстан</w:t>
      </w:r>
      <w:r>
        <w:rPr>
          <w:b w:val="false"/>
          <w:i w:val="false"/>
          <w:color w:val="000000"/>
          <w:sz w:val="20"/>
        </w:rPr>
        <w:t xml:space="preserve">" от 23 января 2001 года, акимат города Сатпаев </w:t>
      </w:r>
      <w:r>
        <w:rPr>
          <w:b/>
          <w:i w:val="false"/>
          <w:color w:val="000000"/>
          <w:sz w:val="20"/>
        </w:rPr>
        <w:t>ПОСТАНОВЛЯЕТ: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регламент</w:t>
      </w:r>
      <w:r>
        <w:rPr>
          <w:b w:val="false"/>
          <w:i w:val="false"/>
          <w:color w:val="000000"/>
          <w:sz w:val="20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основного, общего среднего образования".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Аким г. Сатпаев                            Б.Д. Ахметов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Утверждено</w:t>
      </w:r>
      <w:r>
        <w:br/>
      </w:r>
      <w:r>
        <w:rPr>
          <w:b w:val="false"/>
          <w:i w:val="false"/>
          <w:color w:val="000000"/>
          <w:sz w:val="20"/>
        </w:rPr>
        <w:t>
постановлением акимата</w:t>
      </w:r>
      <w:r>
        <w:br/>
      </w:r>
      <w:r>
        <w:rPr>
          <w:b w:val="false"/>
          <w:i w:val="false"/>
          <w:color w:val="000000"/>
          <w:sz w:val="20"/>
        </w:rPr>
        <w:t>
города Сатпаев N 02/37</w:t>
      </w:r>
      <w:r>
        <w:br/>
      </w:r>
      <w:r>
        <w:rPr>
          <w:b w:val="false"/>
          <w:i w:val="false"/>
          <w:color w:val="000000"/>
          <w:sz w:val="20"/>
        </w:rPr>
        <w:t>
от 6 февраля 2013 года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Основные понятия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В настоящем регламенте используются следующие основные понятия:</w:t>
      </w:r>
      <w:r>
        <w:br/>
      </w:r>
      <w:r>
        <w:rPr>
          <w:b w:val="false"/>
          <w:i w:val="false"/>
          <w:color w:val="000000"/>
          <w:sz w:val="20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b w:val="false"/>
          <w:i w:val="false"/>
          <w:color w:val="000000"/>
          <w:sz w:val="20"/>
        </w:rPr>
        <w:t>
      2) получатель государственной услуги - физическое лицо, не имеющее возможности посещения организации образования, временно или постоянно, по состоянию здоровья (далее - получатель государственной услуги);</w:t>
      </w:r>
      <w:r>
        <w:br/>
      </w:r>
      <w:r>
        <w:rPr>
          <w:b w:val="false"/>
          <w:i w:val="false"/>
          <w:color w:val="000000"/>
          <w:sz w:val="20"/>
        </w:rPr>
        <w:t>
      3) уполномоченный орган – государственное учреждение "Отдел образования, физической культуры и спорта города Сатпаев".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2. Государственная услуга оказывается организациями среднего образования города Сатпаев (далее – организация образования), (контактные данные указаны в </w:t>
      </w:r>
      <w:r>
        <w:rPr>
          <w:b w:val="false"/>
          <w:i w:val="false"/>
          <w:color w:val="000000"/>
          <w:sz w:val="20"/>
        </w:rPr>
        <w:t>приложении 1</w:t>
      </w:r>
      <w:r>
        <w:rPr>
          <w:b w:val="false"/>
          <w:i w:val="false"/>
          <w:color w:val="000000"/>
          <w:sz w:val="20"/>
        </w:rPr>
        <w:t xml:space="preserve"> настоящего регламента).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Форма оказываемой государственной услуги: не автоматизированная.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Государственная услуга регулируется на основании Законов Республики Казахстан от 27 июля 2007 "</w:t>
      </w:r>
      <w:r>
        <w:rPr>
          <w:b w:val="false"/>
          <w:i w:val="false"/>
          <w:color w:val="000000"/>
          <w:sz w:val="20"/>
        </w:rPr>
        <w:t>Об образовании</w:t>
      </w:r>
      <w:r>
        <w:rPr>
          <w:b w:val="false"/>
          <w:i w:val="false"/>
          <w:color w:val="000000"/>
          <w:sz w:val="20"/>
        </w:rPr>
        <w:t>", от 11 июля 2002 года "</w:t>
      </w:r>
      <w:r>
        <w:rPr>
          <w:b w:val="false"/>
          <w:i w:val="false"/>
          <w:color w:val="000000"/>
          <w:sz w:val="20"/>
        </w:rPr>
        <w:t>О социальной и медико-педагогической коррекционной поддержке детей с ограниченными возможностями</w:t>
      </w:r>
      <w:r>
        <w:rPr>
          <w:b w:val="false"/>
          <w:i w:val="false"/>
          <w:color w:val="000000"/>
          <w:sz w:val="20"/>
        </w:rPr>
        <w:t>", </w:t>
      </w:r>
      <w:r>
        <w:rPr>
          <w:b w:val="false"/>
          <w:i w:val="false"/>
          <w:color w:val="000000"/>
          <w:sz w:val="20"/>
        </w:rPr>
        <w:t>постановления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3 февраля 2005 года N 100 "Об утверждении Типовых правил деятельности специальных организаций образования", </w:t>
      </w:r>
      <w:r>
        <w:rPr>
          <w:b w:val="false"/>
          <w:i w:val="false"/>
          <w:color w:val="000000"/>
          <w:sz w:val="20"/>
        </w:rPr>
        <w:t>постановления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b w:val="false"/>
          <w:i w:val="false"/>
          <w:color w:val="000000"/>
          <w:sz w:val="20"/>
        </w:rPr>
        <w:t>приказа</w:t>
      </w:r>
      <w:r>
        <w:rPr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(зарегистрирован в реестре нормативно-правовых актов N 3303).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Требования к порядку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6. Сроки оказания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      с момента сдачи получателем государственной услуги необходимых документов, определенных в </w:t>
      </w:r>
      <w:r>
        <w:rPr>
          <w:b w:val="false"/>
          <w:i w:val="false"/>
          <w:color w:val="000000"/>
          <w:sz w:val="20"/>
        </w:rPr>
        <w:t>пункте 11</w:t>
      </w:r>
      <w:r>
        <w:rPr>
          <w:b w:val="false"/>
          <w:i w:val="false"/>
          <w:color w:val="000000"/>
          <w:sz w:val="20"/>
        </w:rPr>
        <w:t xml:space="preserve"> настоящего регламента – 3 рабочих дня.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Государственная услуга оказывается на безвозмездной основе.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Государственная услуга осуществляется ежедневно с 09.00 до 17.00 часов, за исключением выходных и праздничных дней, с перерывом на обед с 13.00 до 14.30 часов.</w:t>
      </w:r>
      <w:r>
        <w:br/>
      </w:r>
      <w:r>
        <w:rPr>
          <w:b w:val="false"/>
          <w:i w:val="false"/>
          <w:color w:val="000000"/>
          <w:sz w:val="20"/>
        </w:rPr>
        <w:t>
      Предварительная запись и ускоренное оформление не предусмотрены.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b w:val="false"/>
          <w:i w:val="false"/>
          <w:color w:val="000000"/>
          <w:sz w:val="20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b w:val="false"/>
          <w:i w:val="false"/>
          <w:color w:val="000000"/>
          <w:sz w:val="20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b w:val="false"/>
          <w:i w:val="false"/>
          <w:color w:val="000000"/>
          <w:sz w:val="20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b w:val="false"/>
          <w:i w:val="false"/>
          <w:color w:val="000000"/>
          <w:sz w:val="20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b w:val="false"/>
          <w:i w:val="false"/>
          <w:color w:val="000000"/>
          <w:sz w:val="20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b w:val="false"/>
          <w:i w:val="false"/>
          <w:color w:val="000000"/>
          <w:sz w:val="20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b w:val="false"/>
          <w:i w:val="false"/>
          <w:color w:val="000000"/>
          <w:sz w:val="20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b w:val="false"/>
          <w:i w:val="false"/>
          <w:color w:val="000000"/>
          <w:sz w:val="20"/>
        </w:rPr>
        <w:t>
      6) адресная справка;</w:t>
      </w:r>
      <w:r>
        <w:br/>
      </w:r>
      <w:r>
        <w:rPr>
          <w:b w:val="false"/>
          <w:i w:val="false"/>
          <w:color w:val="000000"/>
          <w:sz w:val="20"/>
        </w:rPr>
        <w:t>
      7) справка с места работы родителей.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 111, 2 этаж и на официальном сайте: www.obrazovanie.satpaev-akimat.kz в разделе "Стандарты оказания государственных услуг".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b w:val="false"/>
          <w:i w:val="false"/>
          <w:color w:val="000000"/>
          <w:sz w:val="20"/>
        </w:rPr>
        <w:t>пункте 11</w:t>
      </w:r>
      <w:r>
        <w:rPr>
          <w:b w:val="false"/>
          <w:i w:val="false"/>
          <w:color w:val="000000"/>
          <w:sz w:val="20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b w:val="false"/>
          <w:i w:val="false"/>
          <w:color w:val="000000"/>
          <w:sz w:val="20"/>
        </w:rPr>
        <w:t>приложении 2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b w:val="false"/>
          <w:i w:val="false"/>
          <w:color w:val="000000"/>
          <w:sz w:val="20"/>
        </w:rPr>
        <w:t>приложении 3</w:t>
      </w:r>
      <w:r>
        <w:rPr>
          <w:b w:val="false"/>
          <w:i w:val="false"/>
          <w:color w:val="000000"/>
          <w:sz w:val="20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20.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b w:val="false"/>
          <w:i w:val="false"/>
          <w:color w:val="000000"/>
          <w:sz w:val="20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1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организации</w:t>
      </w:r>
      <w:r>
        <w:br/>
      </w:r>
      <w:r>
        <w:rPr>
          <w:b w:val="false"/>
          <w:i w:val="false"/>
          <w:color w:val="000000"/>
          <w:sz w:val="20"/>
        </w:rPr>
        <w:t>
индивидуального бесплатного обучения</w:t>
      </w:r>
      <w:r>
        <w:br/>
      </w:r>
      <w:r>
        <w:rPr>
          <w:b w:val="false"/>
          <w:i w:val="false"/>
          <w:color w:val="000000"/>
          <w:sz w:val="20"/>
        </w:rPr>
        <w:t>
на дому детей, которые по состоянию</w:t>
      </w:r>
      <w:r>
        <w:br/>
      </w:r>
      <w:r>
        <w:rPr>
          <w:b w:val="false"/>
          <w:i w:val="false"/>
          <w:color w:val="000000"/>
          <w:sz w:val="20"/>
        </w:rPr>
        <w:t>
здоровья в течение длительного времени</w:t>
      </w:r>
      <w:r>
        <w:br/>
      </w:r>
      <w:r>
        <w:rPr>
          <w:b w:val="false"/>
          <w:i w:val="false"/>
          <w:color w:val="000000"/>
          <w:sz w:val="20"/>
        </w:rPr>
        <w:t>
не могут посещать организации начального,</w:t>
      </w:r>
      <w:r>
        <w:br/>
      </w:r>
      <w:r>
        <w:rPr>
          <w:b w:val="false"/>
          <w:i w:val="false"/>
          <w:color w:val="000000"/>
          <w:sz w:val="20"/>
        </w:rPr>
        <w:t>
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Контактные данные организаций образования города Сатпаев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40"/>
        <w:gridCol w:w="7344"/>
        <w:gridCol w:w="5596"/>
      </w:tblGrid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С. Сейфуллина"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улица Комарова 11 а, телефон 3-34-68, 3-32-00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7-15-62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7-24-88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4-18-07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7-12-68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4-00-09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8 7105 95-20-20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Ф. 3-34-49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</w:tr>
      <w:tr>
        <w:tc>
          <w:tcPr>
            <w:tcW w:w="1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55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2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организации</w:t>
      </w:r>
      <w:r>
        <w:br/>
      </w:r>
      <w:r>
        <w:rPr>
          <w:b w:val="false"/>
          <w:i w:val="false"/>
          <w:color w:val="000000"/>
          <w:sz w:val="20"/>
        </w:rPr>
        <w:t>
индивидуального бесплатного обучения</w:t>
      </w:r>
      <w:r>
        <w:br/>
      </w:r>
      <w:r>
        <w:rPr>
          <w:b w:val="false"/>
          <w:i w:val="false"/>
          <w:color w:val="000000"/>
          <w:sz w:val="20"/>
        </w:rPr>
        <w:t>
на дому детей, которые по состоянию</w:t>
      </w:r>
      <w:r>
        <w:br/>
      </w:r>
      <w:r>
        <w:rPr>
          <w:b w:val="false"/>
          <w:i w:val="false"/>
          <w:color w:val="000000"/>
          <w:sz w:val="20"/>
        </w:rPr>
        <w:t>
здоровья в течение длительного времени</w:t>
      </w:r>
      <w:r>
        <w:br/>
      </w:r>
      <w:r>
        <w:rPr>
          <w:b w:val="false"/>
          <w:i w:val="false"/>
          <w:color w:val="000000"/>
          <w:sz w:val="20"/>
        </w:rPr>
        <w:t>
не могут посещать организации начального,</w:t>
      </w:r>
      <w:r>
        <w:br/>
      </w:r>
      <w:r>
        <w:rPr>
          <w:b w:val="false"/>
          <w:i w:val="false"/>
          <w:color w:val="000000"/>
          <w:sz w:val="20"/>
        </w:rPr>
        <w:t>
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090"/>
        <w:gridCol w:w="3093"/>
        <w:gridCol w:w="3089"/>
        <w:gridCol w:w="3808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c>
          <w:tcPr>
            <w:tcW w:w="30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0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Приложение 3</w:t>
      </w:r>
      <w:r>
        <w:br/>
      </w:r>
      <w:r>
        <w:rPr>
          <w:b w:val="false"/>
          <w:i w:val="false"/>
          <w:color w:val="000000"/>
          <w:sz w:val="20"/>
        </w:rPr>
        <w:t>
к регламенту государственной услуги</w:t>
      </w:r>
      <w:r>
        <w:br/>
      </w:r>
      <w:r>
        <w:rPr>
          <w:b w:val="false"/>
          <w:i w:val="false"/>
          <w:color w:val="000000"/>
          <w:sz w:val="20"/>
        </w:rPr>
        <w:t>
"Прием документов для организации</w:t>
      </w:r>
      <w:r>
        <w:br/>
      </w:r>
      <w:r>
        <w:rPr>
          <w:b w:val="false"/>
          <w:i w:val="false"/>
          <w:color w:val="000000"/>
          <w:sz w:val="20"/>
        </w:rPr>
        <w:t>
индивидуального бесплатного обучения</w:t>
      </w:r>
      <w:r>
        <w:br/>
      </w:r>
      <w:r>
        <w:rPr>
          <w:b w:val="false"/>
          <w:i w:val="false"/>
          <w:color w:val="000000"/>
          <w:sz w:val="20"/>
        </w:rPr>
        <w:t>
на дому детей, которые по состоянию</w:t>
      </w:r>
      <w:r>
        <w:br/>
      </w:r>
      <w:r>
        <w:rPr>
          <w:b w:val="false"/>
          <w:i w:val="false"/>
          <w:color w:val="000000"/>
          <w:sz w:val="20"/>
        </w:rPr>
        <w:t>
здоровья в течение длительного времени</w:t>
      </w:r>
      <w:r>
        <w:br/>
      </w:r>
      <w:r>
        <w:rPr>
          <w:b w:val="false"/>
          <w:i w:val="false"/>
          <w:color w:val="000000"/>
          <w:sz w:val="20"/>
        </w:rPr>
        <w:t>
не могут посещать организации начального,</w:t>
      </w:r>
      <w:r>
        <w:br/>
      </w:r>
      <w:r>
        <w:rPr>
          <w:b w:val="false"/>
          <w:i w:val="false"/>
          <w:color w:val="000000"/>
          <w:sz w:val="20"/>
        </w:rPr>
        <w:t>
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8013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