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mallCaps w:val="1"/>
          <w:color w:val="ff0000"/>
          <w:sz w:val="23"/>
          <w:szCs w:val="23"/>
        </w:rPr>
      </w:pPr>
      <w:r w:rsidDel="00000000" w:rsidR="00000000" w:rsidRPr="00000000">
        <w:rPr/>
        <w:pict>
          <v:shape id="_x0000_i1028" style="width:61.05pt;height:29.95pt" type="#_x0000_t75">
            <v:imagedata r:id="rId1" o:title="znaki-electrobezopasnost-6"/>
          </v:shape>
        </w:pict>
      </w:r>
      <w:r w:rsidDel="00000000" w:rsidR="00000000" w:rsidRPr="00000000">
        <w:rPr>
          <w:rFonts w:ascii="Times New Roman" w:cs="Times New Roman" w:eastAsia="Times New Roman" w:hAnsi="Times New Roman"/>
          <w:b w:val="1"/>
          <w:smallCaps w:val="1"/>
          <w:color w:val="ff0000"/>
          <w:sz w:val="23"/>
          <w:szCs w:val="23"/>
          <w:rtl w:val="0"/>
        </w:rPr>
        <w:t xml:space="preserve">ҚАУІПҚА НАЗАР АУДАРЫНЫЗ!!!</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line="240" w:lineRule="auto"/>
        <w:ind w:firstLine="708"/>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Біраз мерзімнен соң мектепте демалыс басталады. Балаларда бос уақыт пайда боладыі. Электр  құралдарын пайдалану кезінде Қауіпсіздік техникасын сақтау ережелерін және  басқа да САҚТАЛУҒА тиісті қарапайым мәселелерді  білу балалардың қауіпсіздігін қамтамасыз етеді және жарақаттар мен жазайым оқиғалардын алдын алады.</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p>
    <w:p w:rsidR="00000000" w:rsidDel="00000000" w:rsidP="00000000" w:rsidRDefault="00000000" w:rsidRPr="00000000" w14:paraId="00000006">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000000" w:rsidDel="00000000" w:rsidP="00000000" w:rsidRDefault="00000000" w:rsidRPr="00000000" w14:paraId="00000007">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000000" w:rsidDel="00000000" w:rsidP="00000000" w:rsidRDefault="00000000" w:rsidRPr="00000000" w14:paraId="00000008">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000000" w:rsidDel="00000000" w:rsidP="00000000" w:rsidRDefault="00000000" w:rsidRPr="00000000" w14:paraId="00000009">
      <w:pPr>
        <w:spacing w:after="0" w:line="240" w:lineRule="auto"/>
        <w:ind w:firstLine="708"/>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- 2018 жыл. қыркүйек Жаңаауыл а. 12 және 14 жастағы ұл балалар спорт алаңында ойнаған кезде қоршауға шығып жаланаш токөткізгіш элементерге тиді. Нәтижесінде балалар қайтыс болды.  </w:t>
      </w:r>
    </w:p>
    <w:p w:rsidR="00000000" w:rsidDel="00000000" w:rsidP="00000000" w:rsidRDefault="00000000" w:rsidRPr="00000000" w14:paraId="0000000A">
      <w:pPr>
        <w:spacing w:after="0" w:line="240" w:lineRule="auto"/>
        <w:ind w:firstLine="3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Pr>
        <w:pict>
          <v:shape id="_x0000_i1029" style="width:55.85pt;height:27.05pt" type="#_x0000_t75">
            <v:imagedata r:id="rId2" o:title="znaki-electrobezopasnost-7-768x376"/>
          </v:shape>
        </w:pict>
      </w:r>
      <w:r w:rsidDel="00000000" w:rsidR="00000000" w:rsidRPr="00000000">
        <w:rPr>
          <w:rFonts w:ascii="Times New Roman" w:cs="Times New Roman" w:eastAsia="Times New Roman" w:hAnsi="Times New Roman"/>
          <w:sz w:val="23"/>
          <w:szCs w:val="23"/>
          <w:rtl w:val="0"/>
        </w:rPr>
        <w:t xml:space="preserve">Сонымен үзілді-кесілді:</w:t>
      </w:r>
    </w:p>
    <w:p w:rsidR="00000000" w:rsidDel="00000000" w:rsidP="00000000" w:rsidRDefault="00000000" w:rsidRPr="00000000" w14:paraId="0000000B">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Трансформатор және ток бөлетін подстанцияларға өте жақын келуге және жанасуға, ішіне енуге және төбесіне шығуға болмайды; </w:t>
      </w:r>
    </w:p>
    <w:p w:rsidR="00000000" w:rsidDel="00000000" w:rsidP="00000000" w:rsidRDefault="00000000" w:rsidRPr="00000000" w14:paraId="0000000C">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000000" w:rsidDel="00000000" w:rsidP="00000000" w:rsidRDefault="00000000" w:rsidRPr="00000000" w14:paraId="0000000D">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Бойында электр тогы жүріп жатқан жалаңаш сымдарға жанасуға болмайды; </w:t>
      </w:r>
    </w:p>
    <w:p w:rsidR="00000000" w:rsidDel="00000000" w:rsidP="00000000" w:rsidRDefault="00000000" w:rsidRPr="00000000" w14:paraId="0000000E">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Құралдарда немесе сымдарда электр тогының бар-жоғын білу үшін саусақпен тексеруге болмайды;  </w:t>
      </w:r>
    </w:p>
    <w:p w:rsidR="00000000" w:rsidDel="00000000" w:rsidP="00000000" w:rsidRDefault="00000000" w:rsidRPr="00000000" w14:paraId="0000000F">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000000" w:rsidDel="00000000" w:rsidP="00000000" w:rsidRDefault="00000000" w:rsidRPr="00000000" w14:paraId="00000010">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Электр өткізгіштер жылу батареяларына, су құбырларына, телефон және радиотрансляция сымдарына жанаспауын бақылап отыру қажет;</w:t>
      </w:r>
    </w:p>
    <w:p w:rsidR="00000000" w:rsidDel="00000000" w:rsidP="00000000" w:rsidRDefault="00000000" w:rsidRPr="00000000" w14:paraId="00000011">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000000" w:rsidDel="00000000" w:rsidP="00000000" w:rsidRDefault="00000000" w:rsidRPr="00000000" w14:paraId="00000012">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Сулы қолмен электр лампочкаларын, тұрмыстық приборларды жағу немесе сөндіру қауіпті. Жанып кеткен лампочкаларды ажыратқышты сөндіріп қойып ауыстыру қажет; </w:t>
      </w:r>
    </w:p>
    <w:p w:rsidR="00000000" w:rsidDel="00000000" w:rsidP="00000000" w:rsidRDefault="00000000" w:rsidRPr="00000000" w14:paraId="00000013">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Корпустарының бойымен ток жүріп тұрған тұрмыстық электр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000000" w:rsidDel="00000000" w:rsidP="00000000" w:rsidRDefault="00000000" w:rsidRPr="00000000" w14:paraId="00000014">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000000" w:rsidDel="00000000" w:rsidP="00000000" w:rsidRDefault="00000000" w:rsidRPr="00000000" w14:paraId="00000015">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000000" w:rsidDel="00000000" w:rsidP="00000000" w:rsidRDefault="00000000" w:rsidRPr="00000000" w14:paraId="00000016">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000000" w:rsidDel="00000000" w:rsidP="00000000" w:rsidRDefault="00000000" w:rsidRPr="00000000" w14:paraId="00000017">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b w:val="1"/>
          <w:color w:val="ff0000"/>
          <w:sz w:val="23"/>
          <w:szCs w:val="23"/>
        </w:rPr>
      </w:pPr>
      <w:r w:rsidDel="00000000" w:rsidR="00000000" w:rsidRPr="00000000">
        <w:rPr>
          <w:rFonts w:ascii="Times New Roman" w:cs="Times New Roman" w:eastAsia="Times New Roman" w:hAnsi="Times New Roman"/>
          <w:b w:val="1"/>
          <w:sz w:val="23"/>
          <w:szCs w:val="23"/>
        </w:rPr>
        <w:pict>
          <v:shape id="_x0000_i1030" style="width:23.6pt;height:20.75pt" type="#_x0000_t75">
            <v:imagedata r:id="rId3" o:title="big_152681"/>
          </v:shape>
        </w:pict>
      </w:r>
      <w:r w:rsidDel="00000000" w:rsidR="00000000" w:rsidRPr="00000000">
        <w:rPr>
          <w:rFonts w:ascii="Times New Roman" w:cs="Times New Roman" w:eastAsia="Times New Roman" w:hAnsi="Times New Roman"/>
          <w:b w:val="1"/>
          <w:color w:val="ff0000"/>
          <w:sz w:val="23"/>
          <w:szCs w:val="23"/>
          <w:rtl w:val="0"/>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B">
      <w:pPr>
        <w:spacing w:after="0" w:line="240" w:lineRule="auto"/>
        <w:ind w:left="3540" w:firstLine="11.999999999999886"/>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ҚР ЭМ Атом және энергетикалық қадағалау мен бақылау комитетінің Павлодар облысы бойынша аумақтық департаменті.</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ff0000"/>
          <w:sz w:val="23"/>
          <w:szCs w:val="23"/>
        </w:rPr>
      </w:pPr>
      <w:r w:rsidDel="00000000" w:rsidR="00000000" w:rsidRPr="00000000">
        <w:rPr/>
        <w:pict>
          <v:shape id="_x0000_i1026" style="width:61.05pt;height:29.95pt" type="#_x0000_t75">
            <v:imagedata r:id="rId4" o:title="znaki-electrobezopasnost-6"/>
          </v:shape>
        </w:pict>
      </w:r>
      <w:r w:rsidDel="00000000" w:rsidR="00000000" w:rsidRPr="00000000">
        <w:rPr>
          <w:rFonts w:ascii="Times New Roman" w:cs="Times New Roman" w:eastAsia="Times New Roman" w:hAnsi="Times New Roman"/>
          <w:b w:val="1"/>
          <w:smallCaps w:val="1"/>
          <w:color w:val="ff0000"/>
          <w:sz w:val="23"/>
          <w:szCs w:val="23"/>
          <w:rtl w:val="0"/>
        </w:rPr>
        <w:t xml:space="preserve"> ВНИМАНИЕ ОПАСНОСТЬ!!! </w:t>
      </w:r>
      <w:r w:rsidDel="00000000" w:rsidR="00000000" w:rsidRPr="00000000">
        <w:rPr>
          <w:rtl w:val="0"/>
        </w:rPr>
      </w:r>
    </w:p>
    <w:p w:rsidR="00000000" w:rsidDel="00000000" w:rsidP="00000000" w:rsidRDefault="00000000" w:rsidRPr="00000000" w14:paraId="0000001F">
      <w:pPr>
        <w:spacing w:after="0" w:line="240" w:lineRule="auto"/>
        <w:ind w:firstLine="708"/>
        <w:jc w:val="both"/>
        <w:rPr>
          <w:rFonts w:ascii="Times New Roman" w:cs="Times New Roman" w:eastAsia="Times New Roman" w:hAnsi="Times New Roman"/>
          <w:color w:val="ff0000"/>
          <w:sz w:val="23"/>
          <w:szCs w:val="23"/>
        </w:rPr>
      </w:pPr>
      <w:r w:rsidDel="00000000" w:rsidR="00000000" w:rsidRPr="00000000">
        <w:rPr>
          <w:rFonts w:ascii="Times New Roman" w:cs="Times New Roman" w:eastAsia="Times New Roman" w:hAnsi="Times New Roman"/>
          <w:color w:val="ff0000"/>
          <w:sz w:val="23"/>
          <w:szCs w:val="23"/>
          <w:rtl w:val="0"/>
        </w:rPr>
        <w:t xml:space="preserve">Скоро начнутся школьные каникулы. У детей появится много свободного времени. Знание детьми простых правил по обращению с электроприборами и мер безопасности обезопасит и предотвратить увечья и несчастные случаи.</w:t>
      </w:r>
    </w:p>
    <w:p w:rsidR="00000000" w:rsidDel="00000000" w:rsidP="00000000" w:rsidRDefault="00000000" w:rsidRPr="00000000" w14:paraId="00000020">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Приведем несколько трагических случаев, в результате несоблюдения которых привело тяжелым последствиям - погибли и пострадали  дети:</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- 2001-2002 годы в Павлодарской области погибло пятеро детей в результате поражения током. Во всех случаях дети проникали в помещения трансформаторных подстанций, либо залезали на опоры линии электропередач; </w:t>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- 2014 год с. Баянаул. 7-летний мальчик играя в прятки с друзьями, забрался на крышу трансформаторной будки (КТП), взялся рукой за токопроводящую шину напряжением  10 кВ. В результате ребенок получил 15% ожогов тела, ампутация левой руки;</w:t>
      </w:r>
    </w:p>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- 2015 год с. Бейнеу Мангистауская область. 11-летний мальчик во время игры проник на территорию огражденного трансформатора. Прикоснулся к токопроводящим элементам, ударило током. В результате ребенку ампутировали обе руки;</w:t>
      </w:r>
    </w:p>
    <w:p w:rsidR="00000000" w:rsidDel="00000000" w:rsidP="00000000" w:rsidRDefault="00000000" w:rsidRPr="00000000" w14:paraId="00000024">
      <w:pPr>
        <w:spacing w:after="0" w:line="24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сентябрь 2018 года. с. Жанааул Павлодарская область. 12 и 14-летние мальчики  во время игры на спортивной площадке поднялись на ограждение и коснулись оголенных токопроводящих элементов. В результате дети погибли.  </w:t>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Pr>
        <w:pict>
          <v:shape id="_x0000_i1027" style="width:55.85pt;height:27.05pt" type="#_x0000_t75">
            <v:imagedata r:id="rId5" o:title="znaki-electrobezopasnost-7-768x376"/>
          </v:shape>
        </w:pict>
      </w:r>
      <w:r w:rsidDel="00000000" w:rsidR="00000000" w:rsidRPr="00000000">
        <w:rPr>
          <w:rtl w:val="0"/>
        </w:rPr>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И так Категорически:</w:t>
      </w:r>
    </w:p>
    <w:p w:rsidR="00000000" w:rsidDel="00000000" w:rsidP="00000000" w:rsidRDefault="00000000" w:rsidRPr="00000000" w14:paraId="00000027">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подходить и прикасаться к трансформаторным и распределительным подстанциям, заходить внутрь их, а также залезать на крышу;</w:t>
      </w:r>
    </w:p>
    <w:p w:rsidR="00000000" w:rsidDel="00000000" w:rsidP="00000000" w:rsidRDefault="00000000" w:rsidRPr="00000000" w14:paraId="00000028">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прикасаться и подходить упавшим и оборванным оголенным проводам кабельных и воздушных линии электропередач;</w:t>
      </w:r>
    </w:p>
    <w:p w:rsidR="00000000" w:rsidDel="00000000" w:rsidP="00000000" w:rsidRDefault="00000000" w:rsidRPr="00000000" w14:paraId="00000029">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Ни в коем случае нельзя касаться оголенных проводов, по которым идет электрический ток;</w:t>
      </w:r>
    </w:p>
    <w:p w:rsidR="00000000" w:rsidDel="00000000" w:rsidP="00000000" w:rsidRDefault="00000000" w:rsidRPr="00000000" w14:paraId="0000002A">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проверять наличие электрического тока в приборах или проводах пальцами; </w:t>
      </w:r>
    </w:p>
    <w:p w:rsidR="00000000" w:rsidDel="00000000" w:rsidP="00000000" w:rsidRDefault="00000000" w:rsidRPr="00000000" w14:paraId="0000002B">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защемлять провода дверями, оконными рамами, закреплять провода на гвоздях, чтобы не повредить изоляцию и не было коротких замыканий (вспышек пламени); </w:t>
      </w:r>
    </w:p>
    <w:p w:rsidR="00000000" w:rsidDel="00000000" w:rsidP="00000000" w:rsidRDefault="00000000" w:rsidRPr="00000000" w14:paraId="0000002C">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Нужно следить за тем, чтобы электрические провода не соприкасались с батареями отопления, трубами водопровода, с телефонными и радиотрансляционными проводами;</w:t>
      </w:r>
    </w:p>
    <w:p w:rsidR="00000000" w:rsidDel="00000000" w:rsidP="00000000" w:rsidRDefault="00000000" w:rsidRPr="00000000" w14:paraId="0000002D">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позволять детям играть у розеток, втыкать в них шпильки, булавки, дергать провода, так как это может привести к поражению током;</w:t>
      </w:r>
    </w:p>
    <w:p w:rsidR="00000000" w:rsidDel="00000000" w:rsidP="00000000" w:rsidRDefault="00000000" w:rsidRPr="00000000" w14:paraId="0000002E">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Опасно включать и выключать электрические лампочки, а также бытовые приборы мокрыми руками. Заменять перегоревшие лампочки нужно при отключенном выключателе;</w:t>
      </w:r>
    </w:p>
    <w:p w:rsidR="00000000" w:rsidDel="00000000" w:rsidP="00000000" w:rsidRDefault="00000000" w:rsidRPr="00000000" w14:paraId="0000002F">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Категорически запрещается пользоваться бытовыми электроприборами, по корпусу которых проходит ток (прибор «кусается»). Штепсельную вилку при включении и выключении приборов нужно брать за пластмассовую колодку, а не за провод;</w:t>
      </w:r>
    </w:p>
    <w:p w:rsidR="00000000" w:rsidDel="00000000" w:rsidP="00000000" w:rsidRDefault="00000000" w:rsidRPr="00000000" w14:paraId="00000030">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Приборы, в которых кипятят воду, готовят пищу (электрочайники, кастрюли), нельзя включать в сеть пустыми. Их нужно наполнить водой не меньше чем на одну треть. Когда наливают воду в чайник или кастрюлю, они должны быть обязательно выключены;</w:t>
      </w:r>
    </w:p>
    <w:p w:rsidR="00000000" w:rsidDel="00000000" w:rsidP="00000000" w:rsidRDefault="00000000" w:rsidRPr="00000000" w14:paraId="00000031">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Нужно следить также и за тем, чтобы шнуры, снятые с приборов, не оставались присоединенными к штепсельной розетке, потому что при случайном прикосновении к ним возможно поражение током;</w:t>
      </w:r>
    </w:p>
    <w:p w:rsidR="00000000" w:rsidDel="00000000" w:rsidP="00000000" w:rsidRDefault="00000000" w:rsidRPr="00000000" w14:paraId="00000032">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Включать и выключать любой электробытовой прибор нужно одной рукой, желательно правой, не касаясь при этом водопроводных, газовых и отопительных труб.</w:t>
      </w:r>
    </w:p>
    <w:p w:rsidR="00000000" w:rsidDel="00000000" w:rsidP="00000000" w:rsidRDefault="00000000" w:rsidRPr="00000000" w14:paraId="00000033">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Чтобы избежать пожара, бытовые электроприборы нужно устанавливать на специальных подставках (керамических, металлических или из асбеста) и на безопасном расстоянии от легко загорающихся предметов (занавесей, портьер, скатертей);</w:t>
      </w:r>
    </w:p>
    <w:p w:rsidR="00000000" w:rsidDel="00000000" w:rsidP="00000000" w:rsidRDefault="00000000" w:rsidRPr="00000000" w14:paraId="00000034">
      <w:pPr>
        <w:numPr>
          <w:ilvl w:val="0"/>
          <w:numId w:val="1"/>
        </w:numPr>
        <w:spacing w:after="0" w:line="240" w:lineRule="auto"/>
        <w:ind w:left="0" w:firstLine="709"/>
        <w:jc w:val="both"/>
        <w:rPr>
          <w:sz w:val="23"/>
          <w:szCs w:val="23"/>
        </w:rPr>
      </w:pPr>
      <w:r w:rsidDel="00000000" w:rsidR="00000000" w:rsidRPr="00000000">
        <w:rPr>
          <w:rFonts w:ascii="Times New Roman" w:cs="Times New Roman" w:eastAsia="Times New Roman" w:hAnsi="Times New Roman"/>
          <w:sz w:val="23"/>
          <w:szCs w:val="23"/>
          <w:rtl w:val="0"/>
        </w:rPr>
        <w:t xml:space="preserve">Нельзя оставлять включенные электроприборы без надзора или поручать наблюдать за ними детям. Это может привести к пожару.</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ff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Pr>
        <w:pict>
          <v:shape id="_x0000_i1025" style="width:23.6pt;height:20.75pt" type="#_x0000_t75">
            <v:imagedata r:id="rId6" o:title="big_152681"/>
          </v:shape>
        </w:pict>
      </w:r>
      <w:r w:rsidDel="00000000" w:rsidR="00000000" w:rsidRPr="00000000">
        <w:rPr>
          <w:rFonts w:ascii="Times New Roman" w:cs="Times New Roman" w:eastAsia="Times New Roman" w:hAnsi="Times New Roman"/>
          <w:b w:val="1"/>
          <w:i w:val="0"/>
          <w:smallCaps w:val="0"/>
          <w:strike w:val="0"/>
          <w:color w:val="ff0000"/>
          <w:sz w:val="23"/>
          <w:szCs w:val="23"/>
          <w:u w:val="none"/>
          <w:shd w:fill="auto" w:val="clear"/>
          <w:vertAlign w:val="baseline"/>
          <w:rtl w:val="0"/>
        </w:rPr>
        <w:t xml:space="preserve">Объясните это своим Детям, найдите время Сегодня, чтобы они Поняли простые правила, чтобы Завтра не было Поздно. </w:t>
      </w:r>
    </w:p>
    <w:tbl>
      <w:tblPr>
        <w:tblStyle w:val="Table1"/>
        <w:tblW w:w="10314.0" w:type="dxa"/>
        <w:jc w:val="left"/>
        <w:tblInd w:w="-106.0" w:type="dxa"/>
        <w:tblLayout w:type="fixed"/>
        <w:tblLook w:val="0000"/>
      </w:tblPr>
      <w:tblGrid>
        <w:gridCol w:w="3402"/>
        <w:gridCol w:w="6912"/>
        <w:tblGridChange w:id="0">
          <w:tblGrid>
            <w:gridCol w:w="3402"/>
            <w:gridCol w:w="6912"/>
          </w:tblGrid>
        </w:tblGridChange>
      </w:tblGrid>
      <w:tr>
        <w:tc>
          <w:tcPr/>
          <w:p w:rsidR="00000000" w:rsidDel="00000000" w:rsidP="00000000" w:rsidRDefault="00000000" w:rsidRPr="00000000" w14:paraId="00000036">
            <w:pPr>
              <w:spacing w:after="0" w:line="240" w:lineRule="auto"/>
              <w:rPr>
                <w:rFonts w:ascii="Times New Roman" w:cs="Times New Roman" w:eastAsia="Times New Roman" w:hAnsi="Times New Roman"/>
                <w:b w:val="1"/>
                <w:sz w:val="23"/>
                <w:szCs w:val="23"/>
              </w:rPr>
            </w:pPr>
            <w:r w:rsidDel="00000000" w:rsidR="00000000" w:rsidRPr="00000000">
              <w:rPr>
                <w:rtl w:val="0"/>
              </w:rPr>
            </w:r>
          </w:p>
        </w:tc>
        <w:tc>
          <w:tcPr/>
          <w:p w:rsidR="00000000" w:rsidDel="00000000" w:rsidP="00000000" w:rsidRDefault="00000000" w:rsidRPr="00000000" w14:paraId="00000037">
            <w:pPr>
              <w:spacing w:after="0"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Территориальный департамент  </w:t>
            </w:r>
          </w:p>
          <w:p w:rsidR="00000000" w:rsidDel="00000000" w:rsidP="00000000" w:rsidRDefault="00000000" w:rsidRPr="00000000" w14:paraId="00000038">
            <w:pPr>
              <w:spacing w:after="0" w:line="240"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Комитета атомного и энергетического надзора и контроля МЭ РК  по Павлодарской области</w:t>
            </w:r>
          </w:p>
        </w:tc>
      </w:tr>
    </w:tbl>
    <w:p w:rsidR="00000000" w:rsidDel="00000000" w:rsidP="00000000" w:rsidRDefault="00000000" w:rsidRPr="00000000" w14:paraId="00000039">
      <w:pPr>
        <w:spacing w:after="0" w:line="240" w:lineRule="auto"/>
        <w:ind w:firstLine="720"/>
        <w:jc w:val="both"/>
        <w:rPr>
          <w:rFonts w:ascii="Times New Roman" w:cs="Times New Roman" w:eastAsia="Times New Roman" w:hAnsi="Times New Roman"/>
          <w:b w:val="1"/>
          <w:sz w:val="23"/>
          <w:szCs w:val="23"/>
        </w:rPr>
      </w:pPr>
      <w:r w:rsidDel="00000000" w:rsidR="00000000" w:rsidRPr="00000000">
        <w:rPr>
          <w:rtl w:val="0"/>
        </w:rPr>
      </w:r>
    </w:p>
    <w:sectPr>
      <w:pgSz w:h="16838" w:w="11906"/>
      <w:pgMar w:bottom="142" w:top="426" w:left="1134"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5" w:before="330" w:lineRule="auto"/>
    </w:pPr>
    <w:rPr>
      <w:rFonts w:ascii="Arial" w:cs="Arial" w:eastAsia="Arial" w:hAnsi="Arial"/>
      <w:color w:val="444444"/>
      <w:sz w:val="42"/>
      <w:szCs w:val="42"/>
    </w:rPr>
  </w:style>
  <w:style w:type="paragraph" w:styleId="Heading2">
    <w:name w:val="heading 2"/>
    <w:basedOn w:val="Normal"/>
    <w:next w:val="Normal"/>
    <w:pPr>
      <w:spacing w:after="150" w:before="270" w:lineRule="auto"/>
    </w:pPr>
    <w:rPr>
      <w:rFonts w:ascii="Arial" w:cs="Arial" w:eastAsia="Arial" w:hAnsi="Arial"/>
      <w:color w:val="444444"/>
      <w:sz w:val="38"/>
      <w:szCs w:val="38"/>
    </w:rPr>
  </w:style>
  <w:style w:type="paragraph" w:styleId="Heading3">
    <w:name w:val="heading 3"/>
    <w:basedOn w:val="Normal"/>
    <w:next w:val="Normal"/>
    <w:pPr>
      <w:spacing w:after="135" w:before="225" w:lineRule="auto"/>
    </w:pPr>
    <w:rPr>
      <w:rFonts w:ascii="Arial" w:cs="Arial" w:eastAsia="Arial" w:hAnsi="Arial"/>
      <w:color w:val="444444"/>
      <w:sz w:val="32"/>
      <w:szCs w:val="32"/>
    </w:rPr>
  </w:style>
  <w:style w:type="paragraph" w:styleId="Heading4">
    <w:name w:val="heading 4"/>
    <w:basedOn w:val="Normal"/>
    <w:next w:val="Normal"/>
    <w:pPr>
      <w:spacing w:after="0" w:before="180" w:lineRule="auto"/>
    </w:pPr>
    <w:rPr>
      <w:rFonts w:ascii="Arial" w:cs="Arial" w:eastAsia="Arial" w:hAnsi="Arial"/>
      <w:color w:val="444444"/>
      <w:sz w:val="29"/>
      <w:szCs w:val="29"/>
    </w:rPr>
  </w:style>
  <w:style w:type="paragraph" w:styleId="Heading5">
    <w:name w:val="heading 5"/>
    <w:basedOn w:val="Normal"/>
    <w:next w:val="Normal"/>
    <w:pPr>
      <w:spacing w:after="90" w:before="180" w:lineRule="auto"/>
    </w:pPr>
    <w:rPr>
      <w:rFonts w:ascii="Arial" w:cs="Arial" w:eastAsia="Arial" w:hAnsi="Arial"/>
      <w:color w:val="444444"/>
      <w:sz w:val="26"/>
      <w:szCs w:val="26"/>
    </w:rPr>
  </w:style>
  <w:style w:type="paragraph" w:styleId="Heading6">
    <w:name w:val="heading 6"/>
    <w:basedOn w:val="Normal"/>
    <w:next w:val="Normal"/>
    <w:pPr>
      <w:spacing w:after="90" w:before="150" w:lineRule="auto"/>
    </w:pPr>
    <w:rPr>
      <w:rFonts w:ascii="Arial" w:cs="Arial" w:eastAsia="Arial" w:hAnsi="Arial"/>
      <w:color w:val="444444"/>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9B31CB"/>
    <w:pPr>
      <w:spacing w:after="200" w:line="276" w:lineRule="auto"/>
    </w:pPr>
    <w:rPr>
      <w:rFonts w:cs="Calibri"/>
      <w:sz w:val="22"/>
      <w:szCs w:val="22"/>
      <w:lang w:eastAsia="en-US"/>
    </w:rPr>
  </w:style>
  <w:style w:type="paragraph" w:styleId="1">
    <w:name w:val="heading 1"/>
    <w:basedOn w:val="a"/>
    <w:link w:val="10"/>
    <w:uiPriority w:val="99"/>
    <w:qFormat w:val="1"/>
    <w:rsid w:val="009B31CB"/>
    <w:pPr>
      <w:spacing w:after="45" w:before="330" w:line="450" w:lineRule="atLeast"/>
      <w:outlineLvl w:val="0"/>
    </w:pPr>
    <w:rPr>
      <w:rFonts w:ascii="Arial" w:cs="Arial" w:eastAsia="Times New Roman" w:hAnsi="Arial"/>
      <w:color w:val="444444"/>
      <w:kern w:val="36"/>
      <w:sz w:val="42"/>
      <w:szCs w:val="42"/>
      <w:lang w:eastAsia="ru-RU"/>
    </w:rPr>
  </w:style>
  <w:style w:type="paragraph" w:styleId="2">
    <w:name w:val="heading 2"/>
    <w:basedOn w:val="a"/>
    <w:link w:val="20"/>
    <w:uiPriority w:val="99"/>
    <w:qFormat w:val="1"/>
    <w:rsid w:val="009B31CB"/>
    <w:pPr>
      <w:spacing w:after="150" w:before="270" w:line="450" w:lineRule="atLeast"/>
      <w:outlineLvl w:val="1"/>
    </w:pPr>
    <w:rPr>
      <w:rFonts w:ascii="Arial" w:cs="Arial" w:eastAsia="Times New Roman" w:hAnsi="Arial"/>
      <w:color w:val="444444"/>
      <w:sz w:val="38"/>
      <w:szCs w:val="38"/>
      <w:lang w:eastAsia="ru-RU"/>
    </w:rPr>
  </w:style>
  <w:style w:type="paragraph" w:styleId="3">
    <w:name w:val="heading 3"/>
    <w:basedOn w:val="a"/>
    <w:link w:val="30"/>
    <w:uiPriority w:val="99"/>
    <w:qFormat w:val="1"/>
    <w:rsid w:val="009B31CB"/>
    <w:pPr>
      <w:spacing w:after="135" w:before="225" w:line="390" w:lineRule="atLeast"/>
      <w:outlineLvl w:val="2"/>
    </w:pPr>
    <w:rPr>
      <w:rFonts w:ascii="Arial" w:cs="Arial" w:eastAsia="Times New Roman" w:hAnsi="Arial"/>
      <w:color w:val="444444"/>
      <w:sz w:val="32"/>
      <w:szCs w:val="32"/>
      <w:lang w:eastAsia="ru-RU"/>
    </w:rPr>
  </w:style>
  <w:style w:type="paragraph" w:styleId="4">
    <w:name w:val="heading 4"/>
    <w:basedOn w:val="a"/>
    <w:link w:val="40"/>
    <w:uiPriority w:val="99"/>
    <w:qFormat w:val="1"/>
    <w:rsid w:val="009B31CB"/>
    <w:pPr>
      <w:spacing w:after="0" w:before="180" w:line="360" w:lineRule="atLeast"/>
      <w:outlineLvl w:val="3"/>
    </w:pPr>
    <w:rPr>
      <w:rFonts w:ascii="Arial" w:cs="Arial" w:eastAsia="Times New Roman" w:hAnsi="Arial"/>
      <w:color w:val="444444"/>
      <w:sz w:val="29"/>
      <w:szCs w:val="29"/>
      <w:lang w:eastAsia="ru-RU"/>
    </w:rPr>
  </w:style>
  <w:style w:type="paragraph" w:styleId="5">
    <w:name w:val="heading 5"/>
    <w:basedOn w:val="a"/>
    <w:link w:val="50"/>
    <w:uiPriority w:val="99"/>
    <w:qFormat w:val="1"/>
    <w:rsid w:val="009B31CB"/>
    <w:pPr>
      <w:spacing w:after="90" w:before="180" w:line="330" w:lineRule="atLeast"/>
      <w:outlineLvl w:val="4"/>
    </w:pPr>
    <w:rPr>
      <w:rFonts w:ascii="Arial" w:cs="Arial" w:eastAsia="Times New Roman" w:hAnsi="Arial"/>
      <w:color w:val="444444"/>
      <w:sz w:val="26"/>
      <w:szCs w:val="26"/>
      <w:lang w:eastAsia="ru-RU"/>
    </w:rPr>
  </w:style>
  <w:style w:type="paragraph" w:styleId="6">
    <w:name w:val="heading 6"/>
    <w:basedOn w:val="a"/>
    <w:link w:val="60"/>
    <w:uiPriority w:val="99"/>
    <w:qFormat w:val="1"/>
    <w:rsid w:val="009B31CB"/>
    <w:pPr>
      <w:spacing w:after="90" w:before="150" w:line="270" w:lineRule="atLeast"/>
      <w:outlineLvl w:val="5"/>
    </w:pPr>
    <w:rPr>
      <w:rFonts w:ascii="Arial" w:cs="Arial" w:eastAsia="Times New Roman" w:hAnsi="Arial"/>
      <w:color w:val="444444"/>
      <w:sz w:val="20"/>
      <w:szCs w:val="20"/>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locked w:val="1"/>
    <w:rsid w:val="009B31CB"/>
    <w:rPr>
      <w:rFonts w:ascii="Arial" w:cs="Arial" w:hAnsi="Arial"/>
      <w:color w:val="444444"/>
      <w:kern w:val="36"/>
      <w:sz w:val="42"/>
      <w:szCs w:val="42"/>
      <w:lang w:eastAsia="ru-RU"/>
    </w:rPr>
  </w:style>
  <w:style w:type="character" w:styleId="20" w:customStyle="1">
    <w:name w:val="Заголовок 2 Знак"/>
    <w:basedOn w:val="a0"/>
    <w:link w:val="2"/>
    <w:uiPriority w:val="99"/>
    <w:locked w:val="1"/>
    <w:rsid w:val="009B31CB"/>
    <w:rPr>
      <w:rFonts w:ascii="Arial" w:cs="Arial" w:hAnsi="Arial"/>
      <w:color w:val="444444"/>
      <w:sz w:val="38"/>
      <w:szCs w:val="38"/>
      <w:lang w:eastAsia="ru-RU"/>
    </w:rPr>
  </w:style>
  <w:style w:type="character" w:styleId="30" w:customStyle="1">
    <w:name w:val="Заголовок 3 Знак"/>
    <w:basedOn w:val="a0"/>
    <w:link w:val="3"/>
    <w:uiPriority w:val="99"/>
    <w:locked w:val="1"/>
    <w:rsid w:val="009B31CB"/>
    <w:rPr>
      <w:rFonts w:ascii="Arial" w:cs="Arial" w:hAnsi="Arial"/>
      <w:color w:val="444444"/>
      <w:sz w:val="32"/>
      <w:szCs w:val="32"/>
      <w:lang w:eastAsia="ru-RU"/>
    </w:rPr>
  </w:style>
  <w:style w:type="character" w:styleId="40" w:customStyle="1">
    <w:name w:val="Заголовок 4 Знак"/>
    <w:basedOn w:val="a0"/>
    <w:link w:val="4"/>
    <w:uiPriority w:val="99"/>
    <w:locked w:val="1"/>
    <w:rsid w:val="009B31CB"/>
    <w:rPr>
      <w:rFonts w:ascii="Arial" w:cs="Arial" w:hAnsi="Arial"/>
      <w:color w:val="444444"/>
      <w:sz w:val="29"/>
      <w:szCs w:val="29"/>
      <w:lang w:eastAsia="ru-RU"/>
    </w:rPr>
  </w:style>
  <w:style w:type="character" w:styleId="50" w:customStyle="1">
    <w:name w:val="Заголовок 5 Знак"/>
    <w:basedOn w:val="a0"/>
    <w:link w:val="5"/>
    <w:uiPriority w:val="99"/>
    <w:locked w:val="1"/>
    <w:rsid w:val="009B31CB"/>
    <w:rPr>
      <w:rFonts w:ascii="Arial" w:cs="Arial" w:hAnsi="Arial"/>
      <w:color w:val="444444"/>
      <w:sz w:val="26"/>
      <w:szCs w:val="26"/>
      <w:lang w:eastAsia="ru-RU"/>
    </w:rPr>
  </w:style>
  <w:style w:type="character" w:styleId="60" w:customStyle="1">
    <w:name w:val="Заголовок 6 Знак"/>
    <w:basedOn w:val="a0"/>
    <w:link w:val="6"/>
    <w:uiPriority w:val="99"/>
    <w:locked w:val="1"/>
    <w:rsid w:val="009B31CB"/>
    <w:rPr>
      <w:rFonts w:ascii="Arial" w:cs="Arial" w:hAnsi="Arial"/>
      <w:color w:val="444444"/>
      <w:sz w:val="20"/>
      <w:szCs w:val="20"/>
      <w:lang w:eastAsia="ru-RU"/>
    </w:rPr>
  </w:style>
  <w:style w:type="character" w:styleId="a3">
    <w:name w:val="Strong"/>
    <w:basedOn w:val="a0"/>
    <w:uiPriority w:val="99"/>
    <w:qFormat w:val="1"/>
    <w:rsid w:val="009B31CB"/>
    <w:rPr>
      <w:b w:val="1"/>
      <w:bCs w:val="1"/>
    </w:rPr>
  </w:style>
  <w:style w:type="paragraph" w:styleId="a4">
    <w:name w:val="Normal (Web)"/>
    <w:basedOn w:val="a"/>
    <w:uiPriority w:val="99"/>
    <w:semiHidden w:val="1"/>
    <w:rsid w:val="00095268"/>
    <w:pPr>
      <w:spacing w:after="100" w:afterAutospacing="1" w:before="100" w:beforeAutospacing="1" w:line="240" w:lineRule="auto"/>
    </w:pPr>
    <w:rPr>
      <w:rFonts w:ascii="Times New Roman" w:cs="Times New Roman" w:eastAsia="Times New Roman" w:hAnsi="Times New Roman"/>
      <w:sz w:val="24"/>
      <w:szCs w:val="24"/>
      <w:lang w:eastAsia="ru-RU"/>
    </w:rPr>
  </w:style>
  <w:style w:type="table" w:styleId="a5">
    <w:name w:val="Table Grid"/>
    <w:basedOn w:val="a1"/>
    <w:uiPriority w:val="99"/>
    <w:rsid w:val="005174EE"/>
    <w:rPr>
      <w:rFonts w:cs="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6">
    <w:name w:val="List Paragraph"/>
    <w:basedOn w:val="a"/>
    <w:uiPriority w:val="99"/>
    <w:qFormat w:val="1"/>
    <w:rsid w:val="0012181D"/>
    <w:pPr>
      <w:ind w:left="720"/>
    </w:pPr>
  </w:style>
  <w:style w:type="paragraph" w:styleId="a7">
    <w:name w:val="No Spacing"/>
    <w:uiPriority w:val="99"/>
    <w:qFormat w:val="1"/>
    <w:rsid w:val="005867FB"/>
    <w:rPr>
      <w:rFonts w:cs="Calibri"/>
      <w:sz w:val="22"/>
      <w:szCs w:val="22"/>
      <w:lang w:eastAsia="en-US"/>
    </w:rPr>
  </w:style>
  <w:style w:type="paragraph" w:styleId="a8">
    <w:name w:val="header"/>
    <w:basedOn w:val="a"/>
    <w:link w:val="a9"/>
    <w:uiPriority w:val="99"/>
    <w:semiHidden w:val="1"/>
    <w:rsid w:val="005B20EA"/>
    <w:pPr>
      <w:tabs>
        <w:tab w:val="center" w:pos="4677"/>
        <w:tab w:val="right" w:pos="9355"/>
      </w:tabs>
      <w:spacing w:after="0" w:line="240" w:lineRule="auto"/>
    </w:pPr>
  </w:style>
  <w:style w:type="character" w:styleId="a9" w:customStyle="1">
    <w:name w:val="Верхний колонтитул Знак"/>
    <w:basedOn w:val="a0"/>
    <w:link w:val="a8"/>
    <w:uiPriority w:val="99"/>
    <w:semiHidden w:val="1"/>
    <w:locked w:val="1"/>
    <w:rsid w:val="005B20EA"/>
    <w:rPr>
      <w:sz w:val="22"/>
      <w:szCs w:val="22"/>
      <w:lang w:eastAsia="en-US"/>
    </w:rPr>
  </w:style>
  <w:style w:type="paragraph" w:styleId="aa">
    <w:name w:val="footer"/>
    <w:basedOn w:val="a"/>
    <w:link w:val="ab"/>
    <w:uiPriority w:val="99"/>
    <w:semiHidden w:val="1"/>
    <w:rsid w:val="005B20EA"/>
    <w:pPr>
      <w:tabs>
        <w:tab w:val="center" w:pos="4677"/>
        <w:tab w:val="right" w:pos="9355"/>
      </w:tabs>
      <w:spacing w:after="0" w:line="240" w:lineRule="auto"/>
    </w:pPr>
  </w:style>
  <w:style w:type="character" w:styleId="ab" w:customStyle="1">
    <w:name w:val="Нижний колонтитул Знак"/>
    <w:basedOn w:val="a0"/>
    <w:link w:val="aa"/>
    <w:uiPriority w:val="99"/>
    <w:semiHidden w:val="1"/>
    <w:locked w:val="1"/>
    <w:rsid w:val="005B20EA"/>
    <w:rPr>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6.jpg"/><Relationship Id="rId3" Type="http://schemas.openxmlformats.org/officeDocument/2006/relationships/image" Target="media/image5.png"/><Relationship Id="rId4" Type="http://schemas.openxmlformats.org/officeDocument/2006/relationships/image" Target="media/image4.jpg"/><Relationship Id="rId11" Type="http://schemas.openxmlformats.org/officeDocument/2006/relationships/styles" Target="styles.xml"/><Relationship Id="rId10" Type="http://schemas.openxmlformats.org/officeDocument/2006/relationships/numbering" Target="numbering.xml"/><Relationship Id="rId9" Type="http://schemas.openxmlformats.org/officeDocument/2006/relationships/fontTable" Target="fontTable.xml"/><Relationship Id="rId5" Type="http://schemas.openxmlformats.org/officeDocument/2006/relationships/image" Target="media/image6.jpg"/><Relationship Id="rId6" Type="http://schemas.openxmlformats.org/officeDocument/2006/relationships/image" Target="media/image5.png"/><Relationship Id="rId7"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2019-03-13T10:55:00Z</dcterms:created>
  <dc:creator>Kenessov</dc:creator>
</cp:coreProperties>
</file>