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59"/>
        <w:gridCol w:w="3711"/>
      </w:tblGrid>
      <w:tr w:rsidR="00A6504B" w:rsidTr="00264EF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:rsidR="00A6504B" w:rsidRDefault="00A6504B" w:rsidP="00A6504B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Тауарларды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таңдау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өлшемшарттары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9"/>
        <w:gridCol w:w="3866"/>
        <w:gridCol w:w="2275"/>
        <w:gridCol w:w="2540"/>
      </w:tblGrid>
      <w:tr w:rsidR="00A6504B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</w:tr>
      <w:tr w:rsidR="00A6504B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Конкурстың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A6504B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6504B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6504B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сертификатталған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6504B" w:rsidRPr="00B55A11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Отандық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өндірушілерден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85-90%-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Pr="00B55A11" w:rsidRDefault="00A6504B" w:rsidP="00264EF2">
            <w:pPr>
              <w:spacing w:after="20"/>
              <w:ind w:left="20"/>
              <w:rPr>
                <w:lang w:val="ru-RU"/>
              </w:rPr>
            </w:pPr>
            <w:r w:rsidRPr="00B55A11">
              <w:rPr>
                <w:color w:val="000000"/>
                <w:sz w:val="20"/>
                <w:lang w:val="ru-RU"/>
              </w:rPr>
              <w:t xml:space="preserve">90-ден 100%-ға </w:t>
            </w:r>
            <w:proofErr w:type="spellStart"/>
            <w:r w:rsidRPr="00B55A11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B55A1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55A11">
              <w:rPr>
                <w:color w:val="000000"/>
                <w:sz w:val="20"/>
                <w:lang w:val="ru-RU"/>
              </w:rPr>
              <w:t>өнімдер</w:t>
            </w:r>
            <w:proofErr w:type="spellEnd"/>
            <w:r w:rsidRPr="00B55A11">
              <w:rPr>
                <w:lang w:val="ru-RU"/>
              </w:rPr>
              <w:br/>
            </w:r>
            <w:r w:rsidRPr="00B55A11">
              <w:rPr>
                <w:color w:val="000000"/>
                <w:sz w:val="20"/>
                <w:lang w:val="ru-RU"/>
              </w:rPr>
              <w:t>(3 балл)</w:t>
            </w:r>
          </w:p>
        </w:tc>
      </w:tr>
      <w:tr w:rsidR="00A6504B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Мектептік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шаруа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фермерлік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қожалығы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жылыжай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басқалары</w:t>
            </w:r>
            <w:proofErr w:type="spellEnd"/>
            <w:r>
              <w:rPr>
                <w:color w:val="000000"/>
                <w:sz w:val="20"/>
              </w:rPr>
              <w:t xml:space="preserve">) (2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6504B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Азық-түлікті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Жалдап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өтеусіз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лизинг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6504B" w:rsidTr="00264EF2">
        <w:trPr>
          <w:trHeight w:val="30"/>
          <w:tblCellSpacing w:w="0" w:type="auto"/>
        </w:trPr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Жоқ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4B" w:rsidRDefault="00A6504B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A6504B" w:rsidRDefault="00A6504B" w:rsidP="00A6504B">
      <w:pPr>
        <w:spacing w:after="0"/>
        <w:rPr>
          <w:color w:val="000000"/>
          <w:sz w:val="28"/>
          <w:lang w:val="kk-KZ"/>
        </w:rPr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1-тармақ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 xml:space="preserve">, 5-тармақ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:rsidR="00A6504B" w:rsidRDefault="00A6504B" w:rsidP="00A6504B">
      <w:pPr>
        <w:spacing w:after="0"/>
        <w:rPr>
          <w:color w:val="000000"/>
          <w:sz w:val="28"/>
          <w:lang w:val="kk-KZ"/>
        </w:rPr>
      </w:pPr>
    </w:p>
    <w:p w:rsidR="00A6504B" w:rsidRDefault="00A6504B" w:rsidP="00A6504B">
      <w:pPr>
        <w:spacing w:after="0"/>
        <w:rPr>
          <w:color w:val="000000"/>
          <w:sz w:val="28"/>
          <w:lang w:val="kk-KZ"/>
        </w:rPr>
      </w:pPr>
    </w:p>
    <w:p w:rsidR="00AB5E21" w:rsidRPr="00A6504B" w:rsidRDefault="00AB5E21">
      <w:pPr>
        <w:rPr>
          <w:lang w:val="kk-KZ"/>
        </w:rPr>
      </w:pPr>
    </w:p>
    <w:sectPr w:rsidR="00AB5E21" w:rsidRPr="00A6504B" w:rsidSect="00A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04B"/>
    <w:rsid w:val="00A6504B"/>
    <w:rsid w:val="00AB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4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1</cp:revision>
  <dcterms:created xsi:type="dcterms:W3CDTF">2019-02-12T05:54:00Z</dcterms:created>
  <dcterms:modified xsi:type="dcterms:W3CDTF">2019-02-12T05:54:00Z</dcterms:modified>
</cp:coreProperties>
</file>