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40" w:rsidRDefault="00590040" w:rsidP="002266BC">
      <w:pPr>
        <w:spacing w:after="0" w:line="240" w:lineRule="auto"/>
        <w:ind w:firstLine="225"/>
        <w:jc w:val="center"/>
        <w:textAlignment w:val="baseline"/>
        <w:rPr>
          <w:rFonts w:ascii="Verdana" w:eastAsia="Times New Roman" w:hAnsi="Verdana" w:cs="Times New Roman"/>
          <w:b/>
          <w:i w:val="0"/>
          <w:iCs w:val="0"/>
          <w:color w:val="000000"/>
          <w:sz w:val="17"/>
          <w:szCs w:val="17"/>
          <w:lang w:val="ru-RU" w:eastAsia="ru-RU" w:bidi="ar-SA"/>
        </w:rPr>
      </w:pPr>
      <w:r w:rsidRPr="002266BC">
        <w:rPr>
          <w:rFonts w:ascii="Verdana" w:eastAsia="Times New Roman" w:hAnsi="Verdana" w:cs="Times New Roman"/>
          <w:b/>
          <w:i w:val="0"/>
          <w:iCs w:val="0"/>
          <w:color w:val="000000"/>
          <w:sz w:val="17"/>
          <w:szCs w:val="17"/>
          <w:lang w:val="ru-RU" w:eastAsia="ru-RU" w:bidi="ar-SA"/>
        </w:rPr>
        <w:t>ЗАКОН РЕСПУБЛИКИ КАЗАХСТАН ОТ 18 НОЯБРЯ 2015 ГОДА № 410-V ЗРК. "О ПРОТИВОДЕЙСТВИИ КОРРУПЦИИ"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Глава 1. ОБЩИЕ ПОЛОЖЕНИЯ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Статья 1. Разъяснение некоторых понятий, содержащихся в настоящем Законе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Содержащиеся в настоящем Законе понятия применяются в следующем значении: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  <w:proofErr w:type="gramEnd"/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квазигосударственного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сектора,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маслихата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маслихатов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,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акимы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городов районного значения, поселков, сел, сельских округов, а также в члены выборного органа местного самоуправления;</w:t>
      </w:r>
      <w:proofErr w:type="gram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субъекте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квазигосударственного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сектора, служащие Национального Банка Республики Казахстан и его ведомств;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котором</w:t>
      </w:r>
      <w:proofErr w:type="gram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личные интересы указанных лиц могут привести к ненадлежащему исполнению ими своих должностных полномочий;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ств дл</w:t>
      </w:r>
      <w:proofErr w:type="gram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я себя либо третьих лиц, а равно подкуп данных лиц путем предоставления благ и преимуществ;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7)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антикоррупционная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8)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антикоррупционные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9) противодействие коррупции – деятельность субъектов противодействия коррупции в пределах своих полномочий по предупреждению коррупции, в том числе по формированию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антикоррупционной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10) уполномоченный орган по противодействию коррупции –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антикоррупционной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политики Республики Казахстан и координации в сфере противодействия коррупции;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11)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системы</w:t>
      </w:r>
      <w:proofErr w:type="gram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превентивных мер.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Сноска. Статья 1 с изменением, внесенным Законом РК от 06.04.2016 </w:t>
      </w:r>
      <w:hyperlink r:id="rId4" w:anchor="z36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№ 484-V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(</w:t>
      </w:r>
      <w:hyperlink r:id="rId5" w:anchor="z64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вводится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в действие по истечении десяти календарных дней после дня его первого официального опубликования).</w:t>
      </w: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br/>
        <w:t>      </w:t>
      </w: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br/>
        <w:t>      Статья 2. Сфера действия настоящего Закона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lastRenderedPageBreak/>
        <w:t> 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2. Уголовные ответственность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Статья 3. Законодательство Республики Казахстан о противодействии коррупции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Статья 4. Основные принципы противодействия коррупции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Противодействие коррупции осуществляется на основе принципов: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1) законности;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2) приоритета защиты прав, свобод и законных интересов человека и гражданина;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3) гласности и прозрачности;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4) взаимодействия государства и гражданского общества;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5) системного и комплексного использования мер противодействия коррупции;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6) приоритетного применения мер предупреждения коррупции;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7) поощрения лиц, оказывающих содействие в противодействии коррупции;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8) неотвратимости наказания за совершение коррупционных правонарушений.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Статья 5. Цель и задачи противодействия коррупции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1. Целью противодействия коррупции является устранение коррупции в обществе.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2. Достижение цели противодействия коррупции реализуется посредством решения следующих задач: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1) формирования в обществе атмосферы нетерпимости к коррупции;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2) выявления условий и причин, способствующих совершению коррупционных правонарушений, и устранения их последствий;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3) укрепления взаимодействия субъектов противодействия коррупции;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4) развития международного сотрудничества по противодействию коррупции;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5) выявления, пресечения, раскрытия и расследования коррупционных правонарушений.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Глава 2. МЕРЫ ПРОТИВОДЕЙСТВИЯ КОРРУПЦИИ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Статья 6. Система мер противодействия коррупции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Система мер противодействия коррупции включает: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1)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антикоррупционный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мониторинг;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2) анализ коррупционных рисков;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3) формирование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антикоррупционной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культуры;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4) выявление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коррупциогенных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норм при производстве юридической экспертизы в соответствии с законодательством Республики Казахстан;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5) формирование и соблюдение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антикоррупционных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стандартов;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6) финансовый контроль;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7)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антикоррупционные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ограничения;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8) предотвращение и разрешение конфликта интересов;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9) меры противодействия коррупции в сфере предпринимательства;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10) выявление, пресечение, раскрытие и расследование коррупционных правонарушений;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11) сообщение о коррупционных правонарушениях;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12) устранение последствий коррупционных правонарушений;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13) формирование и публикацию Национального доклада о противодействии коррупции.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 xml:space="preserve">Статья 7. </w:t>
      </w:r>
      <w:proofErr w:type="spellStart"/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Антикоррупционный</w:t>
      </w:r>
      <w:proofErr w:type="spellEnd"/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 xml:space="preserve"> мониторинг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1.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Антикоррупционный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мониторинг – деятельность субъектов противодействия коррупции по сбору, обработке, обобщению, анализу и оценке информации, касающейся эффективности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антикоррупционной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2. Целью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мониторинга является оценка правоприменительной практики в сфере противодействия коррупции.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3. Источниками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4. Результаты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мониторинга могут являться основанием для проведения анализа коррупционных рисков, а также совершенствования мер, направленных на формирование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антикоррупционной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культуры.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5. Положения настоящей статьи не распространяются на деятельность специальных государственных органов.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Статья 8. Анализ коррупционных рисков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lastRenderedPageBreak/>
        <w:t>     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квазигосударственного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сектора;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2) выявление коррупционных рисков в организационно-управленческой деятельности государственных органов и организаций, субъектов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квазигосударственного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сектора.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По результатам внешнего анализа коррупционных рисков государственные органы, организации и субъекты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квазигосударственного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сектора принимают меры по устранению причин и условий возникновения коррупции.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3. Действие пункта 2 настоящей статьи не распространяется на отношения в сферах: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1) высшего надзора, осуществляемого прокуратурой;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2) досудебного производства по уголовным делам;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3) производства по делам об административных правонарушениях;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4) правосудия;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5) оперативно-розыскной деятельности;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6) уголовно-исполнительной деятельности;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7) 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контроля за</w:t>
      </w:r>
      <w:proofErr w:type="gram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соблюдением требований законодательства Республики Казахстан о государственных секретах.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4. Положения </w:t>
      </w:r>
      <w:hyperlink r:id="rId6" w:anchor="z59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пункта 2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настоящей статьи не распространяются на деятельность специальных государственных органов.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5. Государственные органы, организации и субъекты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квазигосударственного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Сноска. Статья 8 с изменением, внесенным Законом РК от 03.07.2017 </w:t>
      </w:r>
      <w:hyperlink r:id="rId7" w:anchor="z320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№ 86-VI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 xml:space="preserve">Статья 9. Формирование </w:t>
      </w:r>
      <w:proofErr w:type="spellStart"/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антикоррупционной</w:t>
      </w:r>
      <w:proofErr w:type="spellEnd"/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 xml:space="preserve"> культуры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1. Формирование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антикоррупционной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2. Формирование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антикоррупционной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культуры осуществляется посредством комплекса мер образовательного, информационного и организационного характера.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3.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Антикоррупционное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 xml:space="preserve">Статья 10. </w:t>
      </w:r>
      <w:proofErr w:type="spellStart"/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Антикоррупционные</w:t>
      </w:r>
      <w:proofErr w:type="spellEnd"/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 xml:space="preserve"> стандарты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1.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Антикоррупционные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2.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Антикоррупционные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стандарты разрабатываются государственными органами, организациями и субъектами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квазигосударственного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сектора при участии общественности и учитываются при разработке законодательства и в правоприменительной практике.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Примечание РЦПИ!</w:t>
      </w: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br/>
        <w:t>      Порядок введения в действие статьи 11 см. </w:t>
      </w:r>
      <w:hyperlink r:id="rId8" w:anchor="z27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ст. 27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Закона РК от 18.11.2015 № 410-V. </w:t>
      </w: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br/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Статья 11. Меры финансового контроля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1) декларацию об активах и обязательствах;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2) декларацию о доходах и имуществе.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2. Декларацию об активах и обязательствах представляют кандидаты в Президенты Республики Казахстан, депутаты Парламента Республики Казахстан и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маслихатов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,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акимы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городов районного значения, поселков, сел, сельских округов, а также в члены выборных органов местного самоуправления и их супруги – до регистрации в качестве кандидата.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3. Декларацию о доходах и имуществе представляют: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1) лица, занимающие ответственную государственную должность, и их супруги;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2) лица, уполномоченные на выполнение государственных функций, и их супруги;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3) должностные лица и их супруги;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lastRenderedPageBreak/>
        <w:t>      4) лица, приравненные к лицам, уполномоченным на выполнение государственных функций, и их супруги.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 </w:t>
      </w:r>
      <w:hyperlink r:id="rId9" w:anchor="z71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пункте 3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 налоговым законодательством Республики Казахстан.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7. 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Сведения о представлении физическими лицами, указанными в </w:t>
      </w:r>
      <w:hyperlink r:id="rId10" w:anchor="z70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пунктах 2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и </w:t>
      </w:r>
      <w:hyperlink r:id="rId11" w:anchor="z71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3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настоящей статьи, декларации об активах и обязательствах или декларации о доходах и имуществе размещаются на официальном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интернет-ресурсе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  <w:proofErr w:type="gramEnd"/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8. 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  <w:proofErr w:type="gramEnd"/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лицами, указанными в </w:t>
      </w:r>
      <w:hyperlink r:id="rId12" w:anchor="z70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пункте 2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настоящей статьи, – является основанием для отказа в регистрации или отмене решений о регистрации;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лицами, указанными в </w:t>
      </w:r>
      <w:hyperlink r:id="rId13" w:anchor="z71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пункте 3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1) занимающие политические государственные должности;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2) занимающие административные государственные должности корпуса "А";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3) депутаты Парламента Республики Казахстан;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4) судьи Республики Казахстан;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5) лица, исполняющие управленческие функции в субъектах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квазигосударственного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сектора.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Перечень сведений, подлежащих опубликованию, определяется уполномоченным органом по противодействию коррупции.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на</w:t>
      </w:r>
      <w:proofErr w:type="gram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</w:t>
      </w:r>
      <w:proofErr w:type="gram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их</w:t>
      </w:r>
      <w:proofErr w:type="gram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официальных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интернет-ресурсах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10. Требования </w:t>
      </w:r>
      <w:hyperlink r:id="rId14" w:anchor="z75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пункта 7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и подпунктов 1) и 2) </w:t>
      </w:r>
      <w:hyperlink r:id="rId15" w:anchor="z77" w:history="1">
        <w:r w:rsidRPr="00590040">
          <w:rPr>
            <w:rFonts w:ascii="Verdana" w:eastAsia="Times New Roman" w:hAnsi="Verdana" w:cs="Times New Roman"/>
            <w:i w:val="0"/>
            <w:iCs w:val="0"/>
            <w:color w:val="0000FF"/>
            <w:sz w:val="17"/>
            <w:u w:val="single"/>
            <w:lang w:val="ru-RU" w:eastAsia="ru-RU" w:bidi="ar-SA"/>
          </w:rPr>
          <w:t>пункта 9</w:t>
        </w:r>
      </w:hyperlink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настоящей статьи не распространяются на сведения, составляющие государственные секреты.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11.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Примечания.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      1. Лицами, исполняющими управленческие функции в субъектах </w:t>
      </w:r>
      <w:proofErr w:type="spellStart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квазигосударственного</w:t>
      </w:r>
      <w:proofErr w:type="spellEnd"/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 xml:space="preserve"> сектора,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2. Под организационно-распорядительными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 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590040" w:rsidRPr="00590040" w:rsidRDefault="00590040" w:rsidP="00590040">
      <w:pPr>
        <w:spacing w:after="0" w:line="240" w:lineRule="auto"/>
        <w:ind w:firstLine="225"/>
        <w:textAlignment w:val="baseline"/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</w:pPr>
      <w:r w:rsidRPr="00590040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      </w:t>
      </w:r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 xml:space="preserve">Статья 12. </w:t>
      </w:r>
      <w:proofErr w:type="spellStart"/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>Антикоррупционные</w:t>
      </w:r>
      <w:proofErr w:type="spellEnd"/>
      <w:r w:rsidRPr="00590040">
        <w:rPr>
          <w:rFonts w:ascii="Verdana" w:eastAsia="Times New Roman" w:hAnsi="Verdana" w:cs="Times New Roman"/>
          <w:b/>
          <w:bCs/>
          <w:i w:val="0"/>
          <w:iCs w:val="0"/>
          <w:color w:val="000000"/>
          <w:sz w:val="17"/>
          <w:lang w:val="ru-RU" w:eastAsia="ru-RU" w:bidi="ar-SA"/>
        </w:rPr>
        <w:t xml:space="preserve"> ограничения</w:t>
      </w:r>
    </w:p>
    <w:p w:rsidR="006A5EA9" w:rsidRDefault="006A5EA9"/>
    <w:sectPr w:rsidR="006A5EA9" w:rsidSect="006A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040"/>
    <w:rsid w:val="000227F0"/>
    <w:rsid w:val="00173B05"/>
    <w:rsid w:val="002266BC"/>
    <w:rsid w:val="00371EC0"/>
    <w:rsid w:val="004E67DA"/>
    <w:rsid w:val="005608FE"/>
    <w:rsid w:val="00590040"/>
    <w:rsid w:val="00607381"/>
    <w:rsid w:val="00632F0F"/>
    <w:rsid w:val="006772EB"/>
    <w:rsid w:val="006A5EA9"/>
    <w:rsid w:val="00744114"/>
    <w:rsid w:val="00791E3E"/>
    <w:rsid w:val="00853017"/>
    <w:rsid w:val="0092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8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738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38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38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38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38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38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38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3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3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38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073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073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073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38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3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0738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073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0738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738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738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073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0738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738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07381"/>
    <w:rPr>
      <w:b/>
      <w:bCs/>
      <w:spacing w:val="0"/>
    </w:rPr>
  </w:style>
  <w:style w:type="character" w:styleId="a9">
    <w:name w:val="Emphasis"/>
    <w:uiPriority w:val="20"/>
    <w:qFormat/>
    <w:rsid w:val="0060738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073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73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738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0738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0738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0738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0738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073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0738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0738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0738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0738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9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5900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500000410" TargetMode="External"/><Relationship Id="rId13" Type="http://schemas.openxmlformats.org/officeDocument/2006/relationships/hyperlink" Target="http://adilet.zan.kz/rus/docs/Z1500000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1700000086" TargetMode="External"/><Relationship Id="rId12" Type="http://schemas.openxmlformats.org/officeDocument/2006/relationships/hyperlink" Target="http://adilet.zan.kz/rus/docs/Z15000004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500000410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hyperlink" Target="http://adilet.zan.kz/rus/docs/Z1600000484" TargetMode="External"/><Relationship Id="rId15" Type="http://schemas.openxmlformats.org/officeDocument/2006/relationships/hyperlink" Target="http://adilet.zan.kz/rus/docs/Z1500000410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hyperlink" Target="http://adilet.zan.kz/rus/docs/Z1600000484" TargetMode="External"/><Relationship Id="rId9" Type="http://schemas.openxmlformats.org/officeDocument/2006/relationships/hyperlink" Target="http://adilet.zan.kz/rus/docs/Z1500000410" TargetMode="External"/><Relationship Id="rId14" Type="http://schemas.openxmlformats.org/officeDocument/2006/relationships/hyperlink" Target="http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3085</Words>
  <Characters>17588</Characters>
  <Application>Microsoft Office Word</Application>
  <DocSecurity>0</DocSecurity>
  <Lines>146</Lines>
  <Paragraphs>41</Paragraphs>
  <ScaleCrop>false</ScaleCrop>
  <Company/>
  <LinksUpToDate>false</LinksUpToDate>
  <CharactersWithSpaces>20632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2021-03-16T10:39:00Z</dcterms:created>
  <dcterms:modified xsi:type="dcterms:W3CDTF">2021-03-17T10:30:00Z</dcterms:modified>
</cp:coreProperties>
</file>