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образования по классу баяна – 1 специалист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="00A26D5A">
        <w:rPr>
          <w:rFonts w:ascii="Times New Roman" w:hAnsi="Times New Roman" w:cs="Times New Roman"/>
          <w:b/>
          <w:sz w:val="28"/>
          <w:szCs w:val="28"/>
        </w:rPr>
        <w:t>со 2 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A26D5A">
        <w:rPr>
          <w:rFonts w:ascii="Times New Roman" w:hAnsi="Times New Roman" w:cs="Times New Roman"/>
          <w:b/>
          <w:sz w:val="28"/>
          <w:szCs w:val="28"/>
        </w:rPr>
        <w:t>9 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D5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6D5A">
        <w:rPr>
          <w:rFonts w:ascii="Times New Roman" w:eastAsia="Calibri" w:hAnsi="Times New Roman" w:cs="Times New Roman"/>
          <w:b/>
          <w:sz w:val="28"/>
          <w:szCs w:val="28"/>
        </w:rPr>
        <w:t>сентября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D5E98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26D5A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145</cp:revision>
  <cp:lastPrinted>2022-03-14T11:53:00Z</cp:lastPrinted>
  <dcterms:created xsi:type="dcterms:W3CDTF">2019-12-12T07:31:00Z</dcterms:created>
  <dcterms:modified xsi:type="dcterms:W3CDTF">2022-09-02T03:29:00Z</dcterms:modified>
</cp:coreProperties>
</file>