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w:t>
      </w:r>
      <w:proofErr w:type="gramStart"/>
      <w:r w:rsidRPr="006402A2">
        <w:rPr>
          <w:b/>
          <w:sz w:val="28"/>
          <w:lang w:val="kk-KZ"/>
        </w:rPr>
        <w:t xml:space="preserve"> Б</w:t>
      </w:r>
      <w:proofErr w:type="gramEnd"/>
      <w:r w:rsidRPr="006402A2">
        <w:rPr>
          <w:b/>
          <w:sz w:val="28"/>
          <w:lang w:val="kk-KZ"/>
        </w:rPr>
        <w:t>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w:t>
      </w:r>
      <w:proofErr w:type="gramStart"/>
      <w:r w:rsidRPr="006402A2">
        <w:rPr>
          <w:b/>
          <w:sz w:val="28"/>
        </w:rPr>
        <w:t>айындау</w:t>
      </w:r>
      <w:proofErr w:type="gramEnd"/>
      <w:r w:rsidRPr="006402A2">
        <w:rPr>
          <w:b/>
          <w:sz w:val="28"/>
        </w:rPr>
        <w:t>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CD22BC" w:rsidP="00955956">
      <w:pPr>
        <w:pStyle w:val="a4"/>
        <w:spacing w:before="0" w:beforeAutospacing="0" w:after="0" w:afterAutospacing="0"/>
        <w:ind w:firstLine="709"/>
        <w:jc w:val="both"/>
      </w:pPr>
      <w:r>
        <w:rPr>
          <w:lang w:val="kk-KZ"/>
        </w:rPr>
        <w:t>26</w:t>
      </w:r>
      <w:r w:rsidR="00000244">
        <w:t>-</w:t>
      </w:r>
      <w:r w:rsidR="00223A6B">
        <w:rPr>
          <w:lang w:val="kk-KZ"/>
        </w:rPr>
        <w:t>09</w:t>
      </w:r>
      <w:r w:rsidR="00004D0A" w:rsidRPr="00004D0A">
        <w:t>-2022</w:t>
      </w:r>
      <w:r w:rsidR="00004D0A">
        <w:rPr>
          <w:lang w:val="kk-KZ"/>
        </w:rPr>
        <w:t>ж,сағ</w:t>
      </w:r>
      <w:r w:rsidR="00395C33" w:rsidRPr="00AA6459">
        <w:t xml:space="preserve"> </w:t>
      </w:r>
      <w:r w:rsidR="00004D0A"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1,5 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rPr>
      </w:pPr>
      <w:r w:rsidRPr="00E44D0A">
        <w:rPr>
          <w:color w:val="000000"/>
          <w:spacing w:val="2"/>
          <w:lang w:val="kk-KZ"/>
        </w:rPr>
        <w:t xml:space="preserve">      </w:t>
      </w:r>
      <w:r w:rsidRPr="005D1CFA">
        <w:rPr>
          <w:color w:val="000000"/>
          <w:spacing w:val="2"/>
        </w:rPr>
        <w:t>1) "педагог" (</w:t>
      </w:r>
      <w:proofErr w:type="spellStart"/>
      <w:r w:rsidRPr="005D1CFA">
        <w:rPr>
          <w:color w:val="000000"/>
          <w:spacing w:val="2"/>
        </w:rPr>
        <w:t>санатыжоқ</w:t>
      </w:r>
      <w:proofErr w:type="spellEnd"/>
      <w:r w:rsidRPr="005D1CFA">
        <w:rPr>
          <w:color w:val="000000"/>
          <w:spacing w:val="2"/>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Педагогқақойылатынжалпыталаптарғажауапберуі</w:t>
      </w:r>
      <w:proofErr w:type="gramStart"/>
      <w:r w:rsidRPr="005D1CFA">
        <w:rPr>
          <w:rFonts w:ascii="Times New Roman" w:eastAsia="Times New Roman" w:hAnsi="Times New Roman" w:cs="Times New Roman"/>
          <w:color w:val="000000"/>
          <w:spacing w:val="2"/>
          <w:sz w:val="24"/>
          <w:szCs w:val="24"/>
          <w:lang w:eastAsia="ru-RU"/>
        </w:rPr>
        <w:t>тиіс</w:t>
      </w:r>
      <w:proofErr w:type="spellEnd"/>
      <w:proofErr w:type="gram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оқубағдарламасыныңмазмұнынжәнеоқытуәдістемесінбілу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жұмысжоспарынқұру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ұйымыдеңгейіндеіс-шаралардыжоспарлаужәнеұйымдастыру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2) "педагог-модератор":</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педагогкеқойылатынжалпыталаптарғажауапберуі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тұрақтыоңнәтижелердіқамтамасызету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әртүрлімузыкалықсабақтүрлерінкеңіненқолдану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мектепкедейінгібі</w:t>
      </w:r>
      <w:proofErr w:type="gramStart"/>
      <w:r w:rsidRPr="005D1CFA">
        <w:rPr>
          <w:rFonts w:ascii="Times New Roman" w:eastAsia="Times New Roman" w:hAnsi="Times New Roman" w:cs="Times New Roman"/>
          <w:color w:val="000000"/>
          <w:spacing w:val="2"/>
          <w:sz w:val="24"/>
          <w:szCs w:val="24"/>
          <w:lang w:eastAsia="ru-RU"/>
        </w:rPr>
        <w:t>л</w:t>
      </w:r>
      <w:proofErr w:type="gramEnd"/>
      <w:r w:rsidRPr="005D1CFA">
        <w:rPr>
          <w:rFonts w:ascii="Times New Roman" w:eastAsia="Times New Roman" w:hAnsi="Times New Roman" w:cs="Times New Roman"/>
          <w:color w:val="000000"/>
          <w:spacing w:val="2"/>
          <w:sz w:val="24"/>
          <w:szCs w:val="24"/>
          <w:lang w:eastAsia="ru-RU"/>
        </w:rPr>
        <w:t>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ұйымыныңәдістемелікжұмысынақатысу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педагогикалықкеңестердеқатысу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ашықсабақтарөткізу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ұйымыішіндегіі</w:t>
      </w:r>
      <w:proofErr w:type="gramStart"/>
      <w:r w:rsidRPr="005D1CFA">
        <w:rPr>
          <w:rFonts w:ascii="Times New Roman" w:eastAsia="Times New Roman" w:hAnsi="Times New Roman" w:cs="Times New Roman"/>
          <w:color w:val="000000"/>
          <w:spacing w:val="2"/>
          <w:sz w:val="24"/>
          <w:szCs w:val="24"/>
          <w:lang w:eastAsia="ru-RU"/>
        </w:rPr>
        <w:t>с-шаралар</w:t>
      </w:r>
      <w:proofErr w:type="gramEnd"/>
      <w:r w:rsidRPr="005D1CFA">
        <w:rPr>
          <w:rFonts w:ascii="Times New Roman" w:eastAsia="Times New Roman" w:hAnsi="Times New Roman" w:cs="Times New Roman"/>
          <w:color w:val="000000"/>
          <w:spacing w:val="2"/>
          <w:sz w:val="24"/>
          <w:szCs w:val="24"/>
          <w:lang w:eastAsia="ru-RU"/>
        </w:rPr>
        <w:t>ғақатысу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3) "</w:t>
      </w:r>
      <w:proofErr w:type="spellStart"/>
      <w:r w:rsidRPr="005D1CFA">
        <w:rPr>
          <w:rFonts w:ascii="Times New Roman" w:eastAsia="Times New Roman" w:hAnsi="Times New Roman" w:cs="Times New Roman"/>
          <w:color w:val="000000"/>
          <w:spacing w:val="2"/>
          <w:sz w:val="24"/>
          <w:szCs w:val="24"/>
          <w:lang w:eastAsia="ru-RU"/>
        </w:rPr>
        <w:t>педагог-сарапшы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педагогтергеқойылатынталаптарғажауапберуі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мектепкідейінгіжастағыбалалардымузыкалықтәрбиелеу</w:t>
      </w:r>
      <w:proofErr w:type="spellEnd"/>
      <w:r w:rsidRPr="005D1CFA">
        <w:rPr>
          <w:rFonts w:ascii="Times New Roman" w:eastAsia="Times New Roman" w:hAnsi="Times New Roman" w:cs="Times New Roman"/>
          <w:color w:val="000000"/>
          <w:spacing w:val="2"/>
          <w:sz w:val="24"/>
          <w:szCs w:val="24"/>
          <w:lang w:eastAsia="ru-RU"/>
        </w:rPr>
        <w:t xml:space="preserve"> мен </w:t>
      </w:r>
      <w:proofErr w:type="spellStart"/>
      <w:r w:rsidRPr="005D1CFA">
        <w:rPr>
          <w:rFonts w:ascii="Times New Roman" w:eastAsia="Times New Roman" w:hAnsi="Times New Roman" w:cs="Times New Roman"/>
          <w:color w:val="000000"/>
          <w:spacing w:val="2"/>
          <w:sz w:val="24"/>
          <w:szCs w:val="24"/>
          <w:lang w:eastAsia="ru-RU"/>
        </w:rPr>
        <w:lastRenderedPageBreak/>
        <w:t>оқытудыңәртүрліқазіргізаманғыәдістерінмеңгеруі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баланыңмузыкалыққабілетінің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диагностикасыныңэлементтерінбілуі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ортасыныңқалыптасуынабелсендіқатысуытиі</w:t>
      </w:r>
      <w:proofErr w:type="gramStart"/>
      <w:r w:rsidRPr="005D1CFA">
        <w:rPr>
          <w:rFonts w:ascii="Times New Roman" w:eastAsia="Times New Roman" w:hAnsi="Times New Roman" w:cs="Times New Roman"/>
          <w:color w:val="000000"/>
          <w:spacing w:val="2"/>
          <w:sz w:val="24"/>
          <w:szCs w:val="24"/>
          <w:lang w:eastAsia="ru-RU"/>
        </w:rPr>
        <w:t>с</w:t>
      </w:r>
      <w:proofErr w:type="spellEnd"/>
      <w:proofErr w:type="gram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4) "</w:t>
      </w:r>
      <w:proofErr w:type="spellStart"/>
      <w:r w:rsidRPr="005D1CFA">
        <w:rPr>
          <w:rFonts w:ascii="Times New Roman" w:eastAsia="Times New Roman" w:hAnsi="Times New Roman" w:cs="Times New Roman"/>
          <w:color w:val="000000"/>
          <w:spacing w:val="2"/>
          <w:sz w:val="24"/>
          <w:szCs w:val="24"/>
          <w:lang w:eastAsia="ru-RU"/>
        </w:rPr>
        <w:t>педагог-зерттеуші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proofErr w:type="gramStart"/>
      <w:r w:rsidRPr="005D1CFA">
        <w:rPr>
          <w:rFonts w:ascii="Times New Roman" w:eastAsia="Times New Roman" w:hAnsi="Times New Roman" w:cs="Times New Roman"/>
          <w:color w:val="000000"/>
          <w:spacing w:val="2"/>
          <w:sz w:val="24"/>
          <w:szCs w:val="24"/>
          <w:lang w:eastAsia="ru-RU"/>
        </w:rPr>
        <w:t>Педагог-сарапшы</w:t>
      </w:r>
      <w:proofErr w:type="gramEnd"/>
      <w:r w:rsidRPr="005D1CFA">
        <w:rPr>
          <w:rFonts w:ascii="Times New Roman" w:eastAsia="Times New Roman" w:hAnsi="Times New Roman" w:cs="Times New Roman"/>
          <w:color w:val="000000"/>
          <w:spacing w:val="2"/>
          <w:sz w:val="24"/>
          <w:szCs w:val="24"/>
          <w:lang w:eastAsia="ru-RU"/>
        </w:rPr>
        <w:t>ғақойылатынталаптарғажауапберуі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мектепкедейінгіжастағыбалалардымузыкалықоқыту</w:t>
      </w:r>
      <w:proofErr w:type="spellEnd"/>
      <w:r w:rsidRPr="005D1CFA">
        <w:rPr>
          <w:rFonts w:ascii="Times New Roman" w:eastAsia="Times New Roman" w:hAnsi="Times New Roman" w:cs="Times New Roman"/>
          <w:color w:val="000000"/>
          <w:spacing w:val="2"/>
          <w:sz w:val="24"/>
          <w:szCs w:val="24"/>
          <w:lang w:eastAsia="ru-RU"/>
        </w:rPr>
        <w:t xml:space="preserve"> мен тәрбиелеудіңқазіргізаманғыәдістерінқолданудыңөзініңшығармашылықізденісінжүзегеасыруы, </w:t>
      </w:r>
      <w:proofErr w:type="spellStart"/>
      <w:r w:rsidRPr="005D1CFA">
        <w:rPr>
          <w:rFonts w:ascii="Times New Roman" w:eastAsia="Times New Roman" w:hAnsi="Times New Roman" w:cs="Times New Roman"/>
          <w:color w:val="000000"/>
          <w:spacing w:val="2"/>
          <w:sz w:val="24"/>
          <w:szCs w:val="24"/>
          <w:lang w:eastAsia="ru-RU"/>
        </w:rPr>
        <w:t>балалардымузыкалықдамытудыңөзіндікерекшеәдістерінбілуі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кәсібиконкурстардыңқатысушысы</w:t>
      </w:r>
      <w:proofErr w:type="spellEnd"/>
      <w:r w:rsidRPr="005D1CFA">
        <w:rPr>
          <w:rFonts w:ascii="Times New Roman" w:eastAsia="Times New Roman" w:hAnsi="Times New Roman" w:cs="Times New Roman"/>
          <w:color w:val="000000"/>
          <w:spacing w:val="2"/>
          <w:sz w:val="24"/>
          <w:szCs w:val="24"/>
          <w:lang w:eastAsia="ru-RU"/>
        </w:rPr>
        <w:t xml:space="preserve"> болу.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5) "</w:t>
      </w:r>
      <w:proofErr w:type="spellStart"/>
      <w:r w:rsidRPr="005D1CFA">
        <w:rPr>
          <w:rFonts w:ascii="Times New Roman" w:eastAsia="Times New Roman" w:hAnsi="Times New Roman" w:cs="Times New Roman"/>
          <w:color w:val="000000"/>
          <w:spacing w:val="2"/>
          <w:sz w:val="24"/>
          <w:szCs w:val="24"/>
          <w:lang w:eastAsia="ru-RU"/>
        </w:rPr>
        <w:t>педагог-шебер</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педагог-зерттеушігеқойылатынталаптарғажауапберуі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балалардыңмузыкалықдамуыныңөзіндікерекшебірегейәдістемелерініңболуы;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республикалық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халықаралық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деңгейдекәсібиконкурстардыңқатысушысыболыптабылады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6F261D"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6F261D">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6F261D"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6F261D">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6F261D"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6F261D">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6F261D"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6F261D">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6F261D">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6F261D"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6F261D">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6F261D"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6F261D">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6F261D"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6F261D">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2F25"/>
    <w:rsid w:val="00000244"/>
    <w:rsid w:val="00004D0A"/>
    <w:rsid w:val="000253A4"/>
    <w:rsid w:val="000B44F4"/>
    <w:rsid w:val="001315D5"/>
    <w:rsid w:val="00167E96"/>
    <w:rsid w:val="00194DDD"/>
    <w:rsid w:val="00223A6B"/>
    <w:rsid w:val="00234522"/>
    <w:rsid w:val="002D59D4"/>
    <w:rsid w:val="00301064"/>
    <w:rsid w:val="00395C33"/>
    <w:rsid w:val="004E41ED"/>
    <w:rsid w:val="00560D96"/>
    <w:rsid w:val="00565FCF"/>
    <w:rsid w:val="006402A2"/>
    <w:rsid w:val="006424F8"/>
    <w:rsid w:val="00664CC5"/>
    <w:rsid w:val="006F261D"/>
    <w:rsid w:val="00744677"/>
    <w:rsid w:val="00761E19"/>
    <w:rsid w:val="007D7BB2"/>
    <w:rsid w:val="00896AB9"/>
    <w:rsid w:val="00955956"/>
    <w:rsid w:val="00AA6459"/>
    <w:rsid w:val="00AE49D2"/>
    <w:rsid w:val="00B80257"/>
    <w:rsid w:val="00BC2F25"/>
    <w:rsid w:val="00CC4101"/>
    <w:rsid w:val="00CD22BC"/>
    <w:rsid w:val="00D00496"/>
    <w:rsid w:val="00DC3314"/>
    <w:rsid w:val="00DE632B"/>
    <w:rsid w:val="00E44D0A"/>
    <w:rsid w:val="00EE5357"/>
    <w:rsid w:val="00F74050"/>
    <w:rsid w:val="00F94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Lenovo</cp:lastModifiedBy>
  <cp:revision>31</cp:revision>
  <dcterms:created xsi:type="dcterms:W3CDTF">2022-04-06T11:03:00Z</dcterms:created>
  <dcterms:modified xsi:type="dcterms:W3CDTF">2022-09-22T04:39:00Z</dcterms:modified>
</cp:coreProperties>
</file>