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7872" w14:textId="d8c7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Республикасының Білім және ғылым министрінің 2015 жылғы 17 маусымдағы № 391 бұйрығы. Қазақстан Республикасының Әділет министрлігінде 2015 жылы 22 шілдеде № 11716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ҚР Ғылым және жоғары білім министрінің м.а. 24.11.2022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12-1) тармақшасына,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w:t>
      </w:r>
      <w:r>
        <w:rPr>
          <w:rFonts w:ascii="Times New Roman"/>
          <w:b/>
          <w:i w:val="false"/>
          <w:color w:val="000000"/>
          <w:sz w:val="28"/>
        </w:rPr>
        <w:t xml:space="preserve">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м.а. 11.03.2016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Ғылым және жоғары білім министрінің м.а. 24.11.2022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Т.О. Балықбаевқа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Ә.Ө. Исекешев </w:t>
      </w:r>
    </w:p>
    <w:p>
      <w:pPr>
        <w:spacing w:after="0"/>
        <w:ind w:left="0"/>
        <w:jc w:val="both"/>
      </w:pPr>
      <w:r>
        <w:rPr>
          <w:rFonts w:ascii="Times New Roman"/>
          <w:b w:val="false"/>
          <w:i w:val="false"/>
          <w:color w:val="000000"/>
          <w:sz w:val="28"/>
        </w:rPr>
        <w:t>
      2015 жылғы 2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 М.Ә. Құсайынов </w:t>
      </w:r>
    </w:p>
    <w:p>
      <w:pPr>
        <w:spacing w:after="0"/>
        <w:ind w:left="0"/>
        <w:jc w:val="both"/>
      </w:pPr>
      <w:r>
        <w:rPr>
          <w:rFonts w:ascii="Times New Roman"/>
          <w:b w:val="false"/>
          <w:i w:val="false"/>
          <w:color w:val="000000"/>
          <w:sz w:val="28"/>
        </w:rPr>
        <w:t>
      2015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 жаңа редакцияда көзделген - ҚР Ғылым және жоғары білім министрінің м.а. 24.11.2022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 тізбесі</w:t>
      </w:r>
    </w:p>
    <w:p>
      <w:pPr>
        <w:spacing w:after="0"/>
        <w:ind w:left="0"/>
        <w:jc w:val="both"/>
      </w:pPr>
      <w:r>
        <w:rPr>
          <w:rFonts w:ascii="Times New Roman"/>
          <w:b w:val="false"/>
          <w:i w:val="false"/>
          <w:color w:val="ff0000"/>
          <w:sz w:val="28"/>
        </w:rPr>
        <w:t xml:space="preserve">
      Ескерту. Тізбе жаңа редакцияда – ҚР Білім және ғылым министрінің м.а. 14.07.2021 </w:t>
      </w:r>
      <w:r>
        <w:rPr>
          <w:rFonts w:ascii="Times New Roman"/>
          <w:b w:val="false"/>
          <w:i w:val="false"/>
          <w:color w:val="ff0000"/>
          <w:sz w:val="28"/>
        </w:rPr>
        <w:t>№ 339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үлгілік оқу жоспарларына және Қазақстан Республикасы Білім және ғылым министрінің 2018 жылғы 31 қазандағы № 604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604 бұйрық) бекітілген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бейіндері бойынша педагогикалық білімі бар педагогтердің болуы.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жалпы білім беретін мектептер, мектеп-гимназиялар, мектеп-лицейлер үшін кемінде 25 %;</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гимназиялар үшін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22 қаңтардағы № 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13272 болып тіркелген) (бұдан әрі – № 70 бұйрық) бекітілген нормаларға сәйкес оқу және көркем әдебиет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медициналық қызмет көрсетуге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туралы мәлімет, оның ішінде медициналық пункттің және медициналық қызметке берілген лицензияның болуы туралы мәлімет (осы біліктілік талаптарына 3-ші қосымшаға сәйкес нысан бойынша).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2017 жылғы 17 ақпандағы № 71 қаулысының 16 бабының </w:t>
            </w:r>
            <w:r>
              <w:rPr>
                <w:rFonts w:ascii="Times New Roman"/>
                <w:b w:val="false"/>
                <w:i w:val="false"/>
                <w:color w:val="000000"/>
                <w:sz w:val="20"/>
              </w:rPr>
              <w:t>132-1) тармақшасына</w:t>
            </w:r>
            <w:r>
              <w:rPr>
                <w:rFonts w:ascii="Times New Roman"/>
                <w:b w:val="false"/>
                <w:i w:val="false"/>
                <w:color w:val="000000"/>
                <w:sz w:val="20"/>
              </w:rPr>
              <w:t xml:space="preserve"> сәйкес бекітілген (бұдан әрі – № 71 қаулы)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не сенімгерлік басқару құқығында тиесілі материалдық активтердің болуы немесе № 71 қаулыға сәйкес бекітілген санитариялық нормаларға және Қазақстан Республикасы Ішкі істер министрінің 2017 жылғы 23 маусымдағы № 439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15501 болып тіркелген) (бұдан әрі – № 439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2020 жылғы 2 наурыздағы № 79 бұйрығымен (бұдан әрі – № 79 бұйрық)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 604 бұйрыққа және Қазақстан Республикасы Білім және ғылым министрінің 2018 жылғы 30 қазандағы № 595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17657 болып тіркелген) (бұдан әрі – 595 бұйрық) бекітілген Тиісті үлгідегі білім беру ұйымдары қызметінің үлгілік қағидаларына сәйкес оқу кабинеттерімен,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жеке пайдалану үшін жабдықталған шкафтардың болуы;</w:t>
            </w:r>
          </w:p>
          <w:p>
            <w:pPr>
              <w:spacing w:after="20"/>
              <w:ind w:left="20"/>
              <w:jc w:val="both"/>
            </w:pPr>
            <w:r>
              <w:rPr>
                <w:rFonts w:ascii="Times New Roman"/>
                <w:b w:val="false"/>
                <w:i w:val="false"/>
                <w:color w:val="000000"/>
                <w:sz w:val="20"/>
              </w:rPr>
              <w:t xml:space="preserve">
– ғимаратта № 71 </w:t>
            </w:r>
            <w:r>
              <w:rPr>
                <w:rFonts w:ascii="Times New Roman"/>
                <w:b w:val="false"/>
                <w:i w:val="false"/>
                <w:color w:val="000000"/>
                <w:sz w:val="20"/>
              </w:rPr>
              <w:t>қаулыға</w:t>
            </w:r>
            <w:r>
              <w:rPr>
                <w:rFonts w:ascii="Times New Roman"/>
                <w:b w:val="false"/>
                <w:i w:val="false"/>
                <w:color w:val="000000"/>
                <w:sz w:val="20"/>
              </w:rPr>
              <w:t xml:space="preserve"> сәйкес санитариялық нормаларға сәйкес санитариялық тораптардың (унитаздар, қолжуғыш раковиналар) болуы.</w:t>
            </w:r>
          </w:p>
          <w:p>
            <w:pPr>
              <w:spacing w:after="20"/>
              <w:ind w:left="20"/>
              <w:jc w:val="both"/>
            </w:pPr>
            <w:r>
              <w:rPr>
                <w:rFonts w:ascii="Times New Roman"/>
                <w:b w:val="false"/>
                <w:i w:val="false"/>
                <w:color w:val="000000"/>
                <w:sz w:val="20"/>
              </w:rPr>
              <w:t xml:space="preserve">
Мемлекеттік білім беру ұйымдары үшін Қазақстан Республикасы Білім және ғылым министрінің 2019 жылғы 23 қаңтардағы № 32 және Ішкі істер министрінің 2019 жылғы 23 қаңтардағы № 49 </w:t>
            </w:r>
            <w:r>
              <w:rPr>
                <w:rFonts w:ascii="Times New Roman"/>
                <w:b w:val="false"/>
                <w:i w:val="false"/>
                <w:color w:val="000000"/>
                <w:sz w:val="20"/>
              </w:rPr>
              <w:t>бұйрықтарымен</w:t>
            </w:r>
            <w:r>
              <w:rPr>
                <w:rFonts w:ascii="Times New Roman"/>
                <w:b w:val="false"/>
                <w:i w:val="false"/>
                <w:color w:val="000000"/>
                <w:sz w:val="20"/>
              </w:rPr>
              <w:t xml:space="preserve"> (Нормативтік құқықтық актілерді мемлекеттік тіркеу тізілімінде № 18239 болып тіркелген) бекітілген бірлескен бұйрыққа (бұдан әрі – № 32 және № 49 бұйрықтар)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 Жаңадан құрылған білім беру ұйымдарында жеке пайдалануға арналған жабдықталған шкафтар саны болжамды жиынтық бойынша анықталады, жұмыс істеп тұрған білім беру ұйымдарында контингент бойынша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Негізгі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үшін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салауаттылығы саласындағы уәкілетті органның санитариялық-эпидемиологиялық қорытындысы немесе № 71 </w:t>
            </w:r>
            <w:r>
              <w:rPr>
                <w:rFonts w:ascii="Times New Roman"/>
                <w:b w:val="false"/>
                <w:i w:val="false"/>
                <w:color w:val="000000"/>
                <w:sz w:val="20"/>
              </w:rPr>
              <w:t>қаулыға</w:t>
            </w:r>
            <w:r>
              <w:rPr>
                <w:rFonts w:ascii="Times New Roman"/>
                <w:b w:val="false"/>
                <w:i w:val="false"/>
                <w:color w:val="000000"/>
                <w:sz w:val="20"/>
              </w:rPr>
              <w:t xml:space="preserve">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Жалпы білім беретін мектептер, мектеп-гимназиялар, мектеп-лицейлер үшін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әдебиеттің кітапханалық қорының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 71 қаулыға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"Халық денсаулығы және денсаулық сақтау жүйесі туралы" Кодекстің (бұдан әрі – Кодекс)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(бар болса)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Қазақстан Республикасы Білім және ғылым министрінің 2018 жылғы 26 маусымдағы № 305 (бұдан әрі – 305) бұйрығымен бекітілген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 қажеттіліктері бар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90 %-ын жұмысқа орналастыруды қамтамасыз ететін білім беру ұйымдарын қоспағанда, Қазақстан Республикасы Білім және ғылым министрінің 2018 жылғы 27 қыркүйектегі № 500 бұйрығымен (Нормативтік құқықтық актілерді мемлекеттік тіркеу тізілімінде № 17564 болып тіркелген) (бұдан әрі - № 500 бұйрық)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90 %-ын жұмысқа орналастыруды қамтамасыз ететін білім беру ұйымдарын қоспағанда, кемінде денсаулық сақтау саласындағы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қылмыстық-атқару (пенитенциарлық) жүйесі мекемелерінің жанында орналасқан білім беру ұйымдарында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30 %.</w:t>
            </w:r>
          </w:p>
          <w:p>
            <w:pPr>
              <w:spacing w:after="20"/>
              <w:ind w:left="20"/>
              <w:jc w:val="both"/>
            </w:pP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қаулыға сәйкес санитариялық талаптарға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қаулыға сәйкес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ғимаратқа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66 бұйрығына (Нормативтік құқықтық актілерді мемлекеттік тіркеу тізілімінде № 13487 болып тіркелген) (бұдан әрі – № 66 бұйрық) сәйкес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 Денсаулық сақтау саласындағы білім беру ұйымдары үшін Қазақстан Республикасы Денсаулық сақтау және әлеуметтік даму министрінің 2015 жылғы 29 мамырдағы № 423 бұйрығымен (Нормативтік құқықтық актілерді мемлекеттік тіркеу тізілімінде № 11644 болып тіркелген) (бұдан әрі – № 423 бұйрық) бекітілген нормативтерге сәйкес симуляциялық кабинеттермен (орталықтармен) жабдықталуы.</w:t>
            </w:r>
          </w:p>
          <w:p>
            <w:pPr>
              <w:spacing w:after="20"/>
              <w:ind w:left="20"/>
              <w:jc w:val="both"/>
            </w:pPr>
            <w:r>
              <w:rPr>
                <w:rFonts w:ascii="Times New Roman"/>
                <w:b w:val="false"/>
                <w:i w:val="false"/>
                <w:color w:val="000000"/>
                <w:sz w:val="20"/>
              </w:rPr>
              <w:t>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оқыту құралдарының болуы туралы мәліметтер (осы біліктілік талаптарына 6-қосымшаға сәйкес нысан бойынша).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1-тармағына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тиісті бейін бойынша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және Қазақстан Республикасы Қорғаныс министрлігіне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және Қазақстан Республикасы Бас прокуратураға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медициналық және фармацевтикалық мамандықтар Кодекстің 221 бабының 2 тармағына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(қазақ және орыс тілдерінде) үлгілік оқу жоспарларына (бар болса)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604 бұйрықпен бекітілген техникалық және кәсіптік білім берудің мемлекеттік жалпыға міндетті стандартына және (немесе) Кодекстің 221 бабының </w:t>
            </w:r>
            <w:r>
              <w:rPr>
                <w:rFonts w:ascii="Times New Roman"/>
                <w:b w:val="false"/>
                <w:i w:val="false"/>
                <w:color w:val="000000"/>
                <w:sz w:val="20"/>
              </w:rPr>
              <w:t>2 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мәлімделген шарттар бойынша уәкілетті орган бекіткен эксперимент режимінде іске асырылатын, сондай-ақ қылмыстық-атқару (пенитенциарлық) жүйесі мекемелерінің жанынан орналастырылған білім беру ұйымдарында адамдарды оқыту үшін және ерекше білім беру қажеттіліктері бар адамдарды оқыту үшін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90 %-ын жұмысқа орналастыруды қамтамасыз ететін білім беру ұйымдарын қоспағанда, № 500 бұйрықпен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мамандығы бойынша бітірушілердің кемінде 90 %-ын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орындарымен лицензия алу кезінде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даярланатын мамандық біліктілігі бойынша педагогтер санынан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40 %;</w:t>
            </w:r>
          </w:p>
          <w:p>
            <w:pPr>
              <w:spacing w:after="20"/>
              <w:ind w:left="20"/>
              <w:jc w:val="both"/>
            </w:pPr>
            <w:r>
              <w:rPr>
                <w:rFonts w:ascii="Times New Roman"/>
                <w:b w:val="false"/>
                <w:i w:val="false"/>
                <w:color w:val="000000"/>
                <w:sz w:val="20"/>
              </w:rPr>
              <w:t>
Ұйымдарда және/немесе өндірісте кемінде соңғы 3 жылда кемінде 72 сағат көлемінде тағылымдамадан өткен, негізгі жұмыс орны лицензиат болып табылатын мамандық біліктілігі бойынша педагогтердің жалпы санынан арнайы пәндер педагогтерінің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жалпы білім беретін пәндер бойынша, жоғары білімі бар, бейінді пәндер бойынша - бейін бойынша жоғары білім және/немесе рухани семинарияны немесе медресені бітірген, діни салада кемінде бес жыл жалпы жұмыс өтілі бар даярланатын мамандық біліктілігі бойынша педагогтердің жалпы санынан педагогтердің үлесі – кемінде 50 %. Магистр дәрежесі,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санитариялық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қаулымен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 нормаларға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Cанитариялық-эпидемиологиялық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бұйрыққа сәйкес студенттердің тұруы үшін жағдай жасау, меншікті не шаруашылық жүргізу, немесе жедел басқару, немесе сенімді басқару құқығында немесе жалдау құқығында оқудың толық кезеңінде тұруды қамтамасыз ететін жатақханалардың және/немесе хостелдердің және/немесе қонақ үйлердің болуы – мұқтаждар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үшін № 423 бұйрықпен бекітілген нормативтерге сәйкес симуляциялық кабинеттермен (орталықтармен)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xml:space="preserve">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біліктілігіне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бес жылдан кем емес, семинарияны немесе медресені бітірген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саниятариялы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білім берудің мемлекеттік жалпыға міндетті стандартына сәйкестігі. "Педагогикалық ғылымдар" кадрларды даярлау бағыты бойынша білім беру бағдарламасының № 604 бұйрықпен бекітілген Орта білім берудің (бастауыш, негізгі, орта, жалпы орта білім беру) мемлекеттік жалпыға міндетті стандартын ескере отырып және білім беру саласындағы салалық біліктілік шеңберін, "Педагог" кәсіптік стандартын ескере отырып әзірленген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"Құқық" кадрларын даярлау бағыты бойынша білім беру саласындағы уәкілетті органның білім беру бағдарламаларының тізіліміне енгізілген кемінде үш білім беру бағдарламасының болуы және олардың № 604 бұйрықпен бекітілген Жоғары білім берудің мемлекеттік жалпыға міндетті стандартына сәйкестігі.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денсаулық сақтау саласында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 Денсаулық сақтау министрлігіне ведомстволық бағынысты білім беру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Кадрлар даярлау бағыты бойынша оқытушылардың жалпы санынан негізгі жұмыс орны лицензиат болып табылатын Ұлттық біліктілік шеңберінің 8-деңгейіне сәйкес келетін мамандарды қоса алғанда, оқытушылардың үлесі – кемінде 60 %; "Өнер және гуманитарлық ғылымдар" кадрларды даярлау бағыты бойынша – кемінде 50 %;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 үшін: білім беру бағдарламасының пәндеріне сәйкес оқытушылардың болуы және олардың "ғылым кандидаты" немесе "ғылым докторы" немесе "философия докторы (PhD)" немесе "бейіні бойынша доктор" ғылыми дәрежелеріне немесе "философия докторы (PhD)" немесе "бейіні бойынша доктор" академиялық дәрежелеріне және/немесе "қауымдастырылған профессор (доцент)" немесе "профессор" (болған жағдайда) ғылыми атағының оқытатын пәндер бейініне сәйкестігі, лицензиат негізгі жұмыс орны болып табылатын Ұлттық біліктілік шеңберінің 8-деңгейіне сәйкес келетін мамандарды қоса алғанда, кадрларды даярлау бағыты бойынша оқытушылардың жалпы санынан оқытушылардың үлесі – кемінде 40 %;</w:t>
            </w:r>
          </w:p>
          <w:p>
            <w:pPr>
              <w:spacing w:after="20"/>
              <w:ind w:left="20"/>
              <w:jc w:val="both"/>
            </w:pPr>
            <w:r>
              <w:rPr>
                <w:rFonts w:ascii="Times New Roman"/>
                <w:b w:val="false"/>
                <w:i w:val="false"/>
                <w:color w:val="000000"/>
                <w:sz w:val="20"/>
              </w:rPr>
              <w:t>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w:t>
            </w:r>
          </w:p>
          <w:p>
            <w:pPr>
              <w:spacing w:after="20"/>
              <w:ind w:left="20"/>
              <w:jc w:val="both"/>
            </w:pPr>
            <w:r>
              <w:rPr>
                <w:rFonts w:ascii="Times New Roman"/>
                <w:b w:val="false"/>
                <w:i w:val="false"/>
                <w:color w:val="000000"/>
                <w:sz w:val="20"/>
              </w:rPr>
              <w:t>
Негізгі жұмыс орны бойынша оқытылатын пәндер бейіні бойынша практикалық кәсіптік қызметпен айналысатын, кадрларды даярлау бағыты бойынша кемінде 3 жыл жұмыс өтілі бар қоса атқаратын оқытушылардың үлесі кадрларды даярлау бағыты бойынша оқытушылардың үлесі жалпы санынан кемінде –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50 %;</w:t>
            </w:r>
          </w:p>
          <w:p>
            <w:pPr>
              <w:spacing w:after="20"/>
              <w:ind w:left="20"/>
              <w:jc w:val="both"/>
            </w:pPr>
            <w:r>
              <w:rPr>
                <w:rFonts w:ascii="Times New Roman"/>
                <w:b w:val="false"/>
                <w:i w:val="false"/>
                <w:color w:val="000000"/>
                <w:sz w:val="20"/>
              </w:rPr>
              <w:t>
"Денсаулық сақтау" кадрларды даярлау бағыты бойынша денсаулық сақтау ұйымдарында клиникалық жұмыс және(немесе) санитариялық-эпидемиологиялық қызмет ұйымдарында, фармацевтикалық ұйымдарда практикалық жұмыс тәжірибесі кемінде 5 жыл болатын бейінді пәндер оқытушыларының кадр даярлау бағыты бойынша бейінді пәндер оқытушыларының жалпы санынан – кемінде 50 % үлесін құру.</w:t>
            </w:r>
          </w:p>
          <w:p>
            <w:pPr>
              <w:spacing w:after="20"/>
              <w:ind w:left="20"/>
              <w:jc w:val="both"/>
            </w:pPr>
            <w:r>
              <w:rPr>
                <w:rFonts w:ascii="Times New Roman"/>
                <w:b w:val="false"/>
                <w:i w:val="false"/>
                <w:color w:val="000000"/>
                <w:sz w:val="20"/>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"Еңбек сіңірген жаттықтырушы" спорттық атағына ие оқытушылар – кемінде 40 %; кадрлар даярлау бағыты бойынша оқытушылардың жалпы санынан негізгі жұмыс орны лицензиат болып табылатын, "магистр" дәрежесі бар оқытушылардың үлесі – кемінде 60 %; "Педагогикалық ғылымдар" даярлау бағыты бойынша оқытушылардың жалпы санының кемінде – 50 %; "Құқық" кадрларды даярлау бағыты бойынша оқытушылардың жалпы санынан – кемінде 50 %;</w:t>
            </w:r>
          </w:p>
          <w:p>
            <w:pPr>
              <w:spacing w:after="20"/>
              <w:ind w:left="20"/>
              <w:jc w:val="both"/>
            </w:pPr>
            <w:r>
              <w:rPr>
                <w:rFonts w:ascii="Times New Roman"/>
                <w:b w:val="false"/>
                <w:i w:val="false"/>
                <w:color w:val="000000"/>
                <w:sz w:val="20"/>
              </w:rPr>
              <w:t>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кемінде 40 %, кадрларды даярлау бағыты бойынша оқытушылардың жалпы санынан негізгі жұмыс орны лицензиат болып табылатын, "магистр" дәрежесі бар оқытушылардың үлесі – кемінде 60 %;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кемінде - 40 %; кадрлар даярлау бағыты бойынша оқытушылардың жалпы санынан "магистр" дәрежесі бар оқытушылардың және/немесе резидентураны бітірген, базалық және бейінді пәндер және(немесе) лицензиат негізгі жұмыс орны болып табылатын дәрігердің жоғары/бірінші біліктілік санаты бар және (немесе) кемінде 5 жыл клиникалық жұмыс тәжірибесі бар оқытушылардың кадрларды даярлау бағыты бойынша оқытушылардың жалпы санынан үлесі 60 %-дан аспауы;</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"Стандарттау, сертификаттау және метрология (салалар бойынша)", "Көлік қызметтері"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дәрежесі және/немесе қауымдастырылған профессор (доцент)", немесе "профессор" ғылыми атағы бар оқытушылардың үлесі кадрларды даярлау бағыты бойынша оқытушылардың жалпы санынан – кемінде 20 %;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дәрежелері немесе "философия докторы (PhD)" немесе "бейіні бойынша доктор" академиялық дәрежелері немесе "философия докторы (PhD)" немесе "бейіні бойынша доктор" дәрежелері және/немесе "қауымдастырылған профессор (доцент)" немесе "профессор" ғылыми атағы бар оқытушылардың үлесі кадрларды даярлау бағытының жалпы білім беретін пәндері бойынша оқытушылардың жалпы санынан кемінде – 30 %;</w:t>
            </w:r>
          </w:p>
          <w:p>
            <w:pPr>
              <w:spacing w:after="20"/>
              <w:ind w:left="20"/>
              <w:jc w:val="both"/>
            </w:pPr>
            <w:r>
              <w:rPr>
                <w:rFonts w:ascii="Times New Roman"/>
                <w:b w:val="false"/>
                <w:i w:val="false"/>
                <w:color w:val="000000"/>
                <w:sz w:val="20"/>
              </w:rPr>
              <w:t>
азаматтық авиация саласындағы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үлесі кемінде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pPr>
              <w:spacing w:after="20"/>
              <w:ind w:left="20"/>
              <w:jc w:val="both"/>
            </w:pPr>
            <w:r>
              <w:rPr>
                <w:rFonts w:ascii="Times New Roman"/>
                <w:b w:val="false"/>
                <w:i w:val="false"/>
                <w:color w:val="000000"/>
                <w:sz w:val="20"/>
              </w:rPr>
              <w:t>
Оның ішінде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w:t>
            </w:r>
          </w:p>
          <w:p>
            <w:pPr>
              <w:spacing w:after="20"/>
              <w:ind w:left="20"/>
              <w:jc w:val="both"/>
            </w:pPr>
            <w:r>
              <w:rPr>
                <w:rFonts w:ascii="Times New Roman"/>
                <w:b w:val="false"/>
                <w:i w:val="false"/>
                <w:color w:val="000000"/>
                <w:sz w:val="20"/>
              </w:rPr>
              <w:t>
"Денсаулық сақтау" бағыты бойынша дәлелді медицина бойынша халықаралық дерекқорларға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(бұдан әрі –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етілгені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ережелер мен нормаларға сәйкес тамақтандыру объектісінің болуы туралы мәлімет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 қамтамасыз ету. "Денсаулық сақтау" кадрларын даярлау бағыты бойынша – меншікті не шаруашылық жүргізу немесе жедел басқару құқығында тиесілі клиникалармен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жүйесінің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pPr>
              <w:spacing w:after="20"/>
              <w:ind w:left="20"/>
              <w:jc w:val="both"/>
            </w:pPr>
            <w:r>
              <w:rPr>
                <w:rFonts w:ascii="Times New Roman"/>
                <w:b w:val="false"/>
                <w:i w:val="false"/>
                <w:color w:val="000000"/>
                <w:sz w:val="20"/>
              </w:rPr>
              <w:t>
Кодекстің 24-бабына сәйкес санитариялық-эпидемиологиялық қызмет органдары берген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мүгедектердің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және Кодекске сәйкес бекітілген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жоғары білімі бар мамандарды даярлауға арналған мемлекеттік тапсырысты бекіту жөніндегі Қазақстан Республикасы Үкіметінің 2021 жылғы 20 сәуірдегі № 253 </w:t>
            </w:r>
            <w:r>
              <w:rPr>
                <w:rFonts w:ascii="Times New Roman"/>
                <w:b w:val="false"/>
                <w:i w:val="false"/>
                <w:color w:val="000000"/>
                <w:sz w:val="20"/>
              </w:rPr>
              <w:t>қаулысымен</w:t>
            </w:r>
            <w:r>
              <w:rPr>
                <w:rFonts w:ascii="Times New Roman"/>
                <w:b w:val="false"/>
                <w:i w:val="false"/>
                <w:color w:val="000000"/>
                <w:sz w:val="20"/>
              </w:rPr>
              <w:t xml:space="preserve">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ең төменгі шығындардың сәйкестігі туралы мәліметтер (осы біліктілік талаптарына 7-қосымшаға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кемiнде бiр рет оқытушылардың біліктілігін арттыруды қамтамасыз ету; білім беру ұйымдарының басшылары үшін бес жылда кемінде бір рет менеджмент саласында біліктілікті арттыру; "Денсаулық сақтау" кадрлар даярлау бағыты бойынша денсаулық сақтау саласындағы уәкілетті орган бекіткен талаптарға сәйкес; "Сәулет және құрылыс" кадрлар даярлау бағыттары бойынша оқытылатын пәндер бойынша ғылыми-зерттеу, іздестіру, жобалау және өндірістік ұйымдарда бес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біліктілік арттыруы оқытылатын пәндердің бейініне немесе оқыту әдістемесіне сәйкес өткізіледі.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сұратылған бағытының тиісті бейіні бойынша оқытушылардың және (немесе) Ұлттық біліктілік шеңберінің 8-деңгейіне сәйкес келетін мамандардың ғылыми жетекшілікті жүзеге асыруы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практика базалары туралы мәліметтер, оның ішінде "Педагогикалық ғылымдар" кадрларды даярлау бағыты үшін –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"Денсаулық сақтау" кадрларын даярлау үшін – 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кадрларды даярлауды бағыты үшін – азаматтық заңнамаға сәйкес кадрлар даярлау бағыттарына сәйкес әділет және(немесе) ішкі істер органдарымен (полициямен) және(немесе) прокуратурамен және(немесе) сыбайлас жемқорлыққа қарсы қызметімен және(немесе) экономикалық тергеу қызметімен және(немесе) адвокаттар алқасымен және(немесе) нотариаттық палаталармен және(немесе) заң консультанттары палаталарымен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кадрларды даярлау бағыты үшін "Педагогикалық ғылымдар"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кадрларын даярлау үшін –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немесе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кадрларын даярлауды жіберу үшін - кадрлар даярлау бағыттарына сәйкес әділет және(немесе) ішкі істер органдарымен (полициямен) және(немесе) прокуратурамен және(немесе) адвокаттар алқасымен және(немесе) нотариаттық палаталармен және(немесе) заң консультанттары палаталарымен шарттардың болуы.. Сұратылып отырған кадрларды даярлау бағытына сәйкес практика базалары ретінде айқындалған ұйымдармен және стратегиялық әріптестік туралы жасалған шарттардың көшірмелері. Шарт практикадан өту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кадрларды даярлау бағыты үшін дуальді оқыту бойынша мектепке дейінгі тәрбие және оқыту және/немесе бастауыш, негізгі орта, жалпы орта, техникалық және кәсіптік, дуалді білім беру ұйымдарымен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және/немесе бастауыш, негізгі орта, жалпы орта, техникалық және кәсіптік , дуалді білім беру ұйымдарымен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"Педагогикалық ғылымдар" кадрлар даярлау бағыты үшін – кемінде 60 %,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етілу – 50 %.</w:t>
            </w:r>
          </w:p>
          <w:p>
            <w:pPr>
              <w:spacing w:after="20"/>
              <w:ind w:left="20"/>
              <w:jc w:val="both"/>
            </w:pPr>
            <w:r>
              <w:rPr>
                <w:rFonts w:ascii="Times New Roman"/>
                <w:b w:val="false"/>
                <w:i w:val="false"/>
                <w:color w:val="000000"/>
                <w:sz w:val="20"/>
              </w:rPr>
              <w:t>
Бұл ретте жұмысқа орналасқан түлектердің саны екінші жоғары білім бағдарламалары бойынша, күндізгі оқу нысаны бойынша, резидентурада немесе магистратурада немесе докторантурада оқуын жалғастырған түлектерді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туралы және (немесе) білім беру ұйымының басшысы бекіткен хостелдермен/ қонақ үйлермен шарттардың болуы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соңғы 2 жылда кадрларды даярлаудың тиісті бағыты бойынша білім алушыларды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білімнің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бағдарламаларының тізіліміне енгізілген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мемлекеттік жалпыға міндетті білім беру стандартына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ЖЖООКББҰ мәртебесі бойынша нормаларды қарастыратын ынтымақтастық туралы келісімдердің көшірмелері. Келісім практикадан өту кезінде жарамды болуы тиіс және келісімнің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штаттағы төрт оқытушыда:</w:t>
            </w:r>
          </w:p>
          <w:p>
            <w:pPr>
              <w:spacing w:after="20"/>
              <w:ind w:left="20"/>
              <w:jc w:val="both"/>
            </w:pPr>
            <w:r>
              <w:rPr>
                <w:rFonts w:ascii="Times New Roman"/>
                <w:b w:val="false"/>
                <w:i w:val="false"/>
                <w:color w:val="000000"/>
                <w:sz w:val="20"/>
              </w:rPr>
              <w:t>
-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pPr>
              <w:spacing w:after="20"/>
              <w:ind w:left="20"/>
              <w:jc w:val="both"/>
            </w:pPr>
            <w:r>
              <w:rPr>
                <w:rFonts w:ascii="Times New Roman"/>
                <w:b w:val="false"/>
                <w:i w:val="false"/>
                <w:color w:val="000000"/>
                <w:sz w:val="20"/>
              </w:rPr>
              <w:t>
-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кадрлар даярлау бағыты бойынша оқытушылардың жалпы санынан негізгі жұмыс орны лицензиат болып табылатын "магистр" дәрежесі бар оқытушылардың үлесі – 30 %-дан артық емес;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 кемінде 50 %; кадрлар даярлау бағыты бойынша оқытушылардың жалпы санынан негізгі жұмыс орны лицензиат болып табылатын "магистр" дәрежесі бар және/немесе резидентура бітірген, дәрігердің жоғары/бірінші біліктілік санатты және (немесе) клиникалық практикада кемінде 5 жыл тәжірибесі бар оқытушылардың үлесі – 50 %-дан артық емес;</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 мен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ұйымдармен және кәсіпорындармен жасалған шарттардың көшірмелері. Шарт оқу кезінде әрекет ететін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магистранттарда ғылым докторы немесе ғылым кандидаты немесе философия докторы (PhD) немесе бейіні бойынша доктор ғылыми дәрежесі бар оқытушының немесе подполковниктен төмен емес әскери (арнайы атағы, сыныптық шені) немесе судья немесе отставкадағы судья немесе негізгі жұмыс орны лицензиат болып табылатын, кадрларды даярлау бағыты бойынша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авторы болып табылатын ғылым саласына сәйкес келетін білікті маманның ғылыми жетекшілікті жүзеге асыруы.</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және (немесе) Ұлттық біліктілік шеңберінің 8-деңгейіне сәйкес келетін, кемінде 3 жыл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практикадан өту үшін отандық ұйымдармен келісілген шарттармен және шетелдік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қаулыға сәйкес бекітілген санитариялық нормалар мен тәртіптерге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бес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ДСМ-304/2020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(Нормативтік құқықтық актілерді мемлекеттік тіркеу тізілімінде № 21848 болып тіркелген) бұйрығына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w:t>
            </w:r>
          </w:p>
          <w:p>
            <w:pPr>
              <w:spacing w:after="20"/>
              <w:ind w:left="20"/>
              <w:jc w:val="both"/>
            </w:pPr>
            <w:r>
              <w:rPr>
                <w:rFonts w:ascii="Times New Roman"/>
                <w:b w:val="false"/>
                <w:i w:val="false"/>
                <w:color w:val="000000"/>
                <w:sz w:val="20"/>
              </w:rPr>
              <w:t>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алған немесе лицензияны қайта ресімдеген кезде алаңды есептеу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эксперименттік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жоспарының № 604 бұйрықпен бекітілген және (немесе) Кодекске сәйкес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 немесе "ғылым докторы" немесе "философия докторы (РhD)" немесе "бейіні бойынша доктор" ғылыми дәрежесінің немесе "философия докторы (РhD)" немесе "бейіні бойынша доктор" немесе "философия докторы (РhD)" немесе "бейіні бойынша доктор" және/немесе "қауымдастырылған профессор" (доцент), немесе "профессор" ғылыми атағының оқытылатын пәндер бейініне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w:t>
            </w:r>
          </w:p>
          <w:p>
            <w:pPr>
              <w:spacing w:after="20"/>
              <w:ind w:left="20"/>
              <w:jc w:val="both"/>
            </w:pPr>
            <w:r>
              <w:rPr>
                <w:rFonts w:ascii="Times New Roman"/>
                <w:b w:val="false"/>
                <w:i w:val="false"/>
                <w:color w:val="000000"/>
                <w:sz w:val="20"/>
              </w:rPr>
              <w:t>
-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w:t>
            </w:r>
          </w:p>
          <w:p>
            <w:pPr>
              <w:spacing w:after="20"/>
              <w:ind w:left="20"/>
              <w:jc w:val="both"/>
            </w:pPr>
            <w:r>
              <w:rPr>
                <w:rFonts w:ascii="Times New Roman"/>
                <w:b w:val="false"/>
                <w:i w:val="false"/>
                <w:color w:val="000000"/>
                <w:sz w:val="20"/>
              </w:rPr>
              <w:t>
- соңғы 5 жылда рецензияланатын халықаралық ғылыми журналдарда кемінде 3 (үш) мақаланың және/немесе шолудың болуы:</w:t>
            </w:r>
          </w:p>
          <w:p>
            <w:pPr>
              <w:spacing w:after="20"/>
              <w:ind w:left="20"/>
              <w:jc w:val="both"/>
            </w:pPr>
            <w:r>
              <w:rPr>
                <w:rFonts w:ascii="Times New Roman"/>
                <w:b w:val="false"/>
                <w:i w:val="false"/>
                <w:color w:val="000000"/>
                <w:sz w:val="20"/>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50 (елу) процентиль көрсеткіші бар басылымдарда;</w:t>
            </w:r>
          </w:p>
          <w:p>
            <w:pPr>
              <w:spacing w:after="20"/>
              <w:ind w:left="20"/>
              <w:jc w:val="both"/>
            </w:pPr>
            <w:r>
              <w:rPr>
                <w:rFonts w:ascii="Times New Roman"/>
                <w:b w:val="false"/>
                <w:i w:val="false"/>
                <w:color w:val="000000"/>
                <w:sz w:val="20"/>
              </w:rPr>
              <w:t>
2) кадрларды даярлаудың қалған бағыттары үшін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35 (отыз бес) процентиль көрсеткіші бар басылымдарда;</w:t>
            </w:r>
          </w:p>
          <w:p>
            <w:pPr>
              <w:spacing w:after="20"/>
              <w:ind w:left="20"/>
              <w:jc w:val="both"/>
            </w:pPr>
            <w:r>
              <w:rPr>
                <w:rFonts w:ascii="Times New Roman"/>
                <w:b w:val="false"/>
                <w:i w:val="false"/>
                <w:color w:val="000000"/>
                <w:sz w:val="20"/>
              </w:rPr>
              <w:t>
Көрсетілген 5 штаттық оқытушының кемінде 2-уінде:</w:t>
            </w:r>
          </w:p>
          <w:p>
            <w:pPr>
              <w:spacing w:after="20"/>
              <w:ind w:left="20"/>
              <w:jc w:val="both"/>
            </w:pPr>
            <w:r>
              <w:rPr>
                <w:rFonts w:ascii="Times New Roman"/>
                <w:b w:val="false"/>
                <w:i w:val="false"/>
                <w:color w:val="000000"/>
                <w:sz w:val="20"/>
              </w:rPr>
              <w:t>
-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w:t>
            </w:r>
          </w:p>
          <w:p>
            <w:pPr>
              <w:spacing w:after="20"/>
              <w:ind w:left="20"/>
              <w:jc w:val="both"/>
            </w:pPr>
            <w:r>
              <w:rPr>
                <w:rFonts w:ascii="Times New Roman"/>
                <w:b w:val="false"/>
                <w:i w:val="false"/>
                <w:color w:val="000000"/>
                <w:sz w:val="20"/>
              </w:rPr>
              <w:t>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w:t>
            </w:r>
          </w:p>
          <w:p>
            <w:pPr>
              <w:spacing w:after="20"/>
              <w:ind w:left="20"/>
              <w:jc w:val="both"/>
            </w:pPr>
            <w:r>
              <w:rPr>
                <w:rFonts w:ascii="Times New Roman"/>
                <w:b w:val="false"/>
                <w:i w:val="false"/>
                <w:color w:val="000000"/>
                <w:sz w:val="20"/>
              </w:rPr>
              <w:t>
-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ұлттық қауіпсіздік органдарына,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алушыларды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материалдық-техникалық және оқу-зертханалық базамен, кадрлар даярлау бағытының білім беру бағдарламасына сәйкес білім беру бағдарламаларын іске асыру үшін қажетті жабдықтармен жабдықталуы.</w:t>
            </w:r>
          </w:p>
          <w:p>
            <w:pPr>
              <w:spacing w:after="20"/>
              <w:ind w:left="20"/>
              <w:jc w:val="both"/>
            </w:pPr>
            <w:r>
              <w:rPr>
                <w:rFonts w:ascii="Times New Roman"/>
                <w:b w:val="false"/>
                <w:i w:val="false"/>
                <w:color w:val="000000"/>
                <w:sz w:val="20"/>
              </w:rPr>
              <w:t>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әрекет етуі тиіс және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w:t>
            </w:r>
          </w:p>
          <w:p>
            <w:pPr>
              <w:spacing w:after="20"/>
              <w:ind w:left="20"/>
              <w:jc w:val="both"/>
            </w:pPr>
            <w:r>
              <w:rPr>
                <w:rFonts w:ascii="Times New Roman"/>
                <w:b w:val="false"/>
                <w:i w:val="false"/>
                <w:color w:val="000000"/>
                <w:sz w:val="20"/>
              </w:rPr>
              <w:t>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Social Science Citation Index немесе Web of Science Core Collection (Вэб оф Сайнс Кор)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қолданыста болуға тиіс және келісімнің мерзімін ұзарту туралы тармақты қамтуы мүмкін.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жасақталуы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атауы,оқу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w:t>
            </w:r>
          </w:p>
          <w:p>
            <w:pPr>
              <w:spacing w:after="20"/>
              <w:ind w:left="20"/>
              <w:jc w:val="both"/>
            </w:pPr>
            <w:r>
              <w:rPr>
                <w:rFonts w:ascii="Times New Roman"/>
                <w:b w:val="false"/>
                <w:i w:val="false"/>
                <w:color w:val="000000"/>
                <w:sz w:val="20"/>
              </w:rPr>
              <w:t>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көркем және ғылыми әдебиеттер қорының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Санитариялық қағидалар мен нормаларға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медициналық бағыты бойынша кадрлар даярлау үшін.</w:t>
            </w:r>
          </w:p>
          <w:p>
            <w:pPr>
              <w:spacing w:after="20"/>
              <w:ind w:left="20"/>
              <w:jc w:val="both"/>
            </w:pPr>
            <w:r>
              <w:rPr>
                <w:rFonts w:ascii="Times New Roman"/>
                <w:b w:val="false"/>
                <w:i w:val="false"/>
                <w:color w:val="000000"/>
                <w:sz w:val="20"/>
              </w:rPr>
              <w:t>
"Сәулет және құрылыс" кадрларды даярлау бағыты бойынша кадрлар даярлау үшін:</w:t>
            </w:r>
          </w:p>
          <w:p>
            <w:pPr>
              <w:spacing w:after="20"/>
              <w:ind w:left="20"/>
              <w:jc w:val="both"/>
            </w:pPr>
            <w:r>
              <w:rPr>
                <w:rFonts w:ascii="Times New Roman"/>
                <w:b w:val="false"/>
                <w:i w:val="false"/>
                <w:color w:val="000000"/>
                <w:sz w:val="20"/>
              </w:rPr>
              <w:t>
мамандандырылған бағдарламалық кешендер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дерекқорлары бар білім беруді басқарудың ақпараттық жүйесі, edu. kz аймағында үшінші деңгейдегі домендік атау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Тиісті оқу жылына арналған бір білім алушыға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