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47542A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sz w:val="21"/>
          <w:szCs w:val="21"/>
          <w:lang w:val="kk-KZ"/>
        </w:rPr>
        <w:t>қ</w:t>
      </w:r>
      <w:bookmarkStart w:id="0" w:name="_GoBack"/>
      <w:bookmarkEnd w:id="0"/>
      <w:r>
        <w:rPr>
          <w:rFonts w:ascii="Arial" w:hAnsi="Arial" w:cs="Arial"/>
          <w:b/>
          <w:sz w:val="21"/>
          <w:szCs w:val="21"/>
          <w:lang w:val="kk-KZ"/>
        </w:rPr>
        <w:t xml:space="preserve">азақ </w:t>
      </w:r>
      <w:r w:rsidR="007A7845">
        <w:rPr>
          <w:rFonts w:ascii="Arial" w:hAnsi="Arial" w:cs="Arial"/>
          <w:b/>
          <w:sz w:val="21"/>
          <w:szCs w:val="21"/>
          <w:lang w:val="kk-KZ"/>
        </w:rPr>
        <w:t>тілінде оқыт</w:t>
      </w:r>
      <w:r>
        <w:rPr>
          <w:rFonts w:ascii="Arial" w:hAnsi="Arial" w:cs="Arial"/>
          <w:b/>
          <w:sz w:val="21"/>
          <w:szCs w:val="21"/>
          <w:lang w:val="kk-KZ"/>
        </w:rPr>
        <w:t xml:space="preserve">атын </w:t>
      </w:r>
      <w:r w:rsidR="00903542">
        <w:rPr>
          <w:rFonts w:ascii="Arial" w:hAnsi="Arial" w:cs="Arial"/>
          <w:b/>
          <w:sz w:val="21"/>
          <w:szCs w:val="21"/>
          <w:lang w:val="kk-KZ"/>
        </w:rPr>
        <w:t>педагог-ассистент</w:t>
      </w:r>
      <w:r w:rsidR="009C2F04">
        <w:rPr>
          <w:lang w:val="kk-KZ"/>
        </w:rPr>
        <w:t xml:space="preserve"> 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47542A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9C2F04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03542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педагог-ассистент</w:t>
            </w:r>
            <w:r>
              <w:rPr>
                <w:lang w:val="kk-KZ"/>
              </w:rPr>
              <w:t xml:space="preserve">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 w:rsidR="00ED328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9C2F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жүктеме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47542A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психологиялық-медициналық-педагогикалық консультацияның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ұсынымы бойынша ерекше білім беру қажеттіліктері бар баланы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психологиялық-педагогикалық сүйемелдеуді жүзеге асырады;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балалардағы ерекше білім беру қажеттіліктерін бағалау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мақсатында мамандар мен педагогтердің командалық бағалауына,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сондай-ақ жеке білім беру және дамыту бағдарламаларын жасауға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қатысады;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білім беру ұйымдарында ұйымдастырылған оқу және өзге де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қызмет кезінде ерекше білім беру қажеттіліктері бар балаларға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көмек көрсетеді,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олардың тәуелсіз қызметі денсаулық жағдайы мен мінез-құлық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ерекшеліктерімен шектелген кезде психологиялық-педагогикалық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қолдау көрсетеді;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оқыту, тәрбиелеу және дамыту жұмысы процесінде ерекше білім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беру қажеттіліктері бар бала туралы деректерді бақылауды жүзеге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асырады және жинайды, білім беру бағдарламасын меңгеру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нәтижелерін, білім беру, әлеуметтік-бейімделу (мінез-құлық)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дағдыларын қалыптастыру динамикасын хаттамалауды жүргізеді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және мониторинг үшін тәрбиешілер мен мамандарға ақпарат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береді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баланы оқыту және әлеуметтендіру процесі;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ерекше білім беру қажеттіліктері бар баланың өмірі мен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денсаулығының қауіпсіздігі жағдайларын сақтайды;</w:t>
            </w:r>
          </w:p>
          <w:p w:rsidR="008E7665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белгіленген нысан бойынша есепті құжаттаманы жүргізеді.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</w:t>
            </w:r>
            <w:r w:rsidR="007A784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29258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7A784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7A784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37045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47542A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903542" w:rsidP="007A7845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0100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DB5CA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7A78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7A78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7A78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B1578A" w:rsidRPr="0047542A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03542" w:rsidRPr="00903542" w:rsidRDefault="00932150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аттестациядан</w:t>
            </w:r>
            <w:proofErr w:type="spellEnd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өту</w:t>
            </w:r>
            <w:proofErr w:type="spellEnd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нәтижелері</w:t>
            </w:r>
            <w:proofErr w:type="spellEnd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</w:p>
          <w:p w:rsidR="00932150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модератордан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төмен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емес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қолданыстағы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</w:t>
            </w:r>
            <w:proofErr w:type="gram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</w:t>
            </w:r>
            <w:proofErr w:type="gram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іктілік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санаты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бар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екендігі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сертификат (бар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B1578A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  <w:p w:rsidR="00903542" w:rsidRPr="00BA4B1E" w:rsidRDefault="00903542" w:rsidP="00C161F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11) тәжірибесі жоқ</w:t>
            </w:r>
            <w:r w:rsidR="00C161F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үміткерге арналған </w:t>
            </w:r>
            <w:r w:rsidRPr="0090354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бейнепрезентация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кемінде 15 минут, ең</w:t>
            </w:r>
            <w:r w:rsidR="00C161F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төменгі ажыратылымдылығы- 720х 480.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B5E67" w:rsidRDefault="00CB5E67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260"/>
        <w:gridCol w:w="3119"/>
        <w:gridCol w:w="3402"/>
      </w:tblGrid>
      <w:tr w:rsidR="00903542" w:rsidTr="00903542">
        <w:trPr>
          <w:trHeight w:val="1052"/>
        </w:trPr>
        <w:tc>
          <w:tcPr>
            <w:tcW w:w="3260" w:type="dxa"/>
          </w:tcPr>
          <w:p w:rsidR="00903542" w:rsidRPr="00437A2D" w:rsidRDefault="00903542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3119" w:type="dxa"/>
          </w:tcPr>
          <w:p w:rsidR="00903542" w:rsidRPr="00437A2D" w:rsidRDefault="00903542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3402" w:type="dxa"/>
          </w:tcPr>
          <w:p w:rsidR="00903542" w:rsidRPr="00437A2D" w:rsidRDefault="00903542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903542" w:rsidRPr="00437A2D" w:rsidRDefault="00903542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03542" w:rsidTr="00903542">
        <w:trPr>
          <w:trHeight w:val="895"/>
        </w:trPr>
        <w:tc>
          <w:tcPr>
            <w:tcW w:w="3260" w:type="dxa"/>
          </w:tcPr>
          <w:p w:rsidR="00903542" w:rsidRDefault="00903542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903542" w:rsidRDefault="00903542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903542" w:rsidRDefault="00903542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903542" w:rsidRDefault="00903542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095129" w:rsidRDefault="00095129" w:rsidP="004D4DCA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4D4DCA" w:rsidRPr="00095129" w:rsidRDefault="004D4DCA" w:rsidP="004D4DCA">
      <w:pPr>
        <w:spacing w:after="0"/>
        <w:jc w:val="center"/>
        <w:rPr>
          <w:rFonts w:ascii="Times New Roman"/>
          <w:b/>
          <w:color w:val="000000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095129">
        <w:rPr>
          <w:rFonts w:ascii="Arial" w:hAnsi="Arial" w:cs="Arial"/>
          <w:b/>
          <w:color w:val="000000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095129">
        <w:rPr>
          <w:rFonts w:ascii="Arial" w:hAnsi="Arial" w:cs="Arial"/>
          <w:b/>
          <w:color w:val="000000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095129">
        <w:rPr>
          <w:rFonts w:ascii="Arial" w:hAnsi="Arial" w:cs="Arial"/>
          <w:b/>
          <w:color w:val="000000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095129">
        <w:rPr>
          <w:rFonts w:ascii="Arial" w:hAnsi="Arial" w:cs="Arial"/>
          <w:b/>
          <w:color w:val="000000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095129">
        <w:rPr>
          <w:rFonts w:ascii="Arial" w:hAnsi="Arial" w:cs="Arial"/>
          <w:b/>
          <w:color w:val="000000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095129">
        <w:rPr>
          <w:rFonts w:ascii="Arial" w:hAnsi="Arial" w:cs="Arial"/>
          <w:b/>
          <w:color w:val="000000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095129">
        <w:rPr>
          <w:rFonts w:ascii="Arial" w:hAnsi="Arial" w:cs="Arial"/>
          <w:b/>
          <w:color w:val="000000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095129">
        <w:rPr>
          <w:rFonts w:ascii="Arial" w:hAnsi="Arial" w:cs="Arial"/>
          <w:b/>
          <w:color w:val="000000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095129">
        <w:rPr>
          <w:rFonts w:ascii="Times New Roman"/>
          <w:b/>
          <w:color w:val="000000"/>
        </w:rPr>
        <w:t xml:space="preserve"> </w:t>
      </w:r>
      <w:r w:rsidRPr="00095129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095129">
        <w:rPr>
          <w:rFonts w:ascii="Times New Roman"/>
          <w:b/>
          <w:color w:val="000000"/>
        </w:rPr>
        <w:t xml:space="preserve">  </w:t>
      </w:r>
    </w:p>
    <w:p w:rsidR="004D4DCA" w:rsidRPr="00C161F7" w:rsidRDefault="004D4DCA" w:rsidP="004D4DCA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C161F7">
        <w:rPr>
          <w:rFonts w:ascii="Arial" w:hAnsi="Arial" w:cs="Arial"/>
          <w:color w:val="000000"/>
          <w:sz w:val="18"/>
          <w:szCs w:val="18"/>
        </w:rPr>
        <w:t>(</w:t>
      </w:r>
      <w:r w:rsidRPr="00095129">
        <w:rPr>
          <w:rFonts w:ascii="Arial" w:hAnsi="Arial" w:cs="Arial"/>
          <w:color w:val="000000"/>
          <w:sz w:val="18"/>
          <w:szCs w:val="18"/>
        </w:rPr>
        <w:t>Т</w:t>
      </w:r>
      <w:r w:rsidRPr="00C161F7">
        <w:rPr>
          <w:rFonts w:ascii="Arial" w:hAnsi="Arial" w:cs="Arial"/>
          <w:color w:val="000000"/>
          <w:sz w:val="18"/>
          <w:szCs w:val="18"/>
        </w:rPr>
        <w:t>.</w:t>
      </w:r>
      <w:r w:rsidRPr="00095129">
        <w:rPr>
          <w:rFonts w:ascii="Arial" w:hAnsi="Arial" w:cs="Arial"/>
          <w:color w:val="000000"/>
          <w:sz w:val="18"/>
          <w:szCs w:val="18"/>
        </w:rPr>
        <w:t>Ә</w:t>
      </w:r>
      <w:r w:rsidRPr="00C161F7">
        <w:rPr>
          <w:rFonts w:ascii="Arial" w:hAnsi="Arial" w:cs="Arial"/>
          <w:color w:val="000000"/>
          <w:sz w:val="18"/>
          <w:szCs w:val="18"/>
        </w:rPr>
        <w:t>.</w:t>
      </w:r>
      <w:r w:rsidRPr="00095129">
        <w:rPr>
          <w:rFonts w:ascii="Arial" w:hAnsi="Arial" w:cs="Arial"/>
          <w:color w:val="000000"/>
          <w:sz w:val="18"/>
          <w:szCs w:val="18"/>
        </w:rPr>
        <w:t>А</w:t>
      </w:r>
      <w:r w:rsidRPr="00C161F7">
        <w:rPr>
          <w:rFonts w:ascii="Arial" w:hAnsi="Arial" w:cs="Arial"/>
          <w:color w:val="000000"/>
          <w:sz w:val="18"/>
          <w:szCs w:val="18"/>
        </w:rPr>
        <w:t>. (</w:t>
      </w:r>
      <w:proofErr w:type="spellStart"/>
      <w:r w:rsidRPr="00095129">
        <w:rPr>
          <w:rFonts w:ascii="Arial" w:hAnsi="Arial" w:cs="Arial"/>
          <w:color w:val="000000"/>
          <w:sz w:val="18"/>
          <w:szCs w:val="18"/>
        </w:rPr>
        <w:t>болған</w:t>
      </w:r>
      <w:proofErr w:type="spellEnd"/>
      <w:r w:rsidRPr="00C161F7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95129">
        <w:rPr>
          <w:rFonts w:ascii="Arial" w:hAnsi="Arial" w:cs="Arial"/>
          <w:color w:val="000000"/>
          <w:sz w:val="18"/>
          <w:szCs w:val="18"/>
        </w:rPr>
        <w:t>жағдайда</w:t>
      </w:r>
      <w:proofErr w:type="spellEnd"/>
      <w:r w:rsidRPr="00C161F7">
        <w:rPr>
          <w:rFonts w:ascii="Arial" w:hAnsi="Arial" w:cs="Arial"/>
          <w:color w:val="000000"/>
          <w:sz w:val="18"/>
          <w:szCs w:val="18"/>
        </w:rPr>
        <w:t>))</w:t>
      </w:r>
    </w:p>
    <w:p w:rsidR="004D4DCA" w:rsidRPr="00095129" w:rsidRDefault="004D4DCA" w:rsidP="004D4DCA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127"/>
        <w:gridCol w:w="2976"/>
        <w:gridCol w:w="4678"/>
      </w:tblGrid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Өлшемшарттар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Растайтын</w:t>
            </w:r>
            <w:proofErr w:type="spellEnd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 xml:space="preserve">Балл </w:t>
            </w:r>
            <w:proofErr w:type="spellStart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сандары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 xml:space="preserve">(1-ден 20-ға </w:t>
            </w:r>
            <w:proofErr w:type="spellStart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дейін</w:t>
            </w:r>
            <w:proofErr w:type="spellEnd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деңгейі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туралы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дипломға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қосымшаның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көшірмелері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Техникалық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кәсіби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күндізгі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күндізгі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үздік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= 3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Магистр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Жоғары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сыртқы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қашықтан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минус 2 балл</w:t>
            </w:r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академиялық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дәрежесі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туралы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дипломға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қосымшаның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көшірмелері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PHD</w:t>
            </w: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-доктор = 10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Ғылыми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доктор = 10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кандидат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10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үміткерлер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үшін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сертификаттау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- 5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Жеке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куәлік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басқа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Екінші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Бірінші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Жоғары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санат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3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Педагог-модератор = 3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Педагог-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сарапшы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5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Педагог-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зерттеуші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7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Педагог-шебер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10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47542A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Әкімшілік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әдістемелік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қызметтегі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тәжірибесі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Еңбек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кітапшасы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еңбек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растайтын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басқа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Әдіскер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лауазымдық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кемінде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= 1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Директордың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орынбасары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лауазымдық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кемінде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= 3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директор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лауазымдық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кемінде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= 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6.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Алғаш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рет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жұмысқа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тұрған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педагогтер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үшін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туралы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қосымшасы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Педагогикалық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/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кәсіби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тәжірибенің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нәтижелері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жақсы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= 1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жақсы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= 0,5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47542A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7.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Бұрынғы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орнынан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немесе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орнынан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өз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бетінше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жариялаған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соңғы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ұйымға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мекемесіне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өтініш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жасайды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хатының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болуы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3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Теріс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хатының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болуы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минус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3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47542A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8.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Кәсіби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жетістіктерінің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көрсеткіштері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дипломдар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алушылардың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жобалар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жеңімпаздардың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грамоталары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дипломдар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мұғалімнің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жеңімпаздарының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грамоталары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 xml:space="preserve">-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 xml:space="preserve"> 1)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0,5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жобалардың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2)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- 3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Үздік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конкурсына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қатысушы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Үздік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конкурсының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Қазақстан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еңбек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сіңірген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ұстазы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медаль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иегері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10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9.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Әдістемелік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-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авторлық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шығармалары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басылымдары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</w:t>
            </w:r>
            <w:proofErr w:type="gram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Р</w:t>
            </w:r>
            <w:proofErr w:type="gram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БҒМ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тізбесіне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енген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оқулықтар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мен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) ОӘК авторы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бірлескен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авторы = 5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gram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РОӘК</w:t>
            </w:r>
            <w:proofErr w:type="gram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тізбесіне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енген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оқулықтар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мен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) ОӘК авторы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бірлескен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авторы = 2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БҒ</w:t>
            </w:r>
            <w:proofErr w:type="gram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ССҚЕК</w:t>
            </w:r>
            <w:proofErr w:type="gram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Scopus</w:t>
            </w: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тізбесіне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енгізілген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ғылыми-зерттеу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қызметі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жарияланымның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болуы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- 3 балл</w:t>
            </w:r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10.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Қоғамдық-педагогикалық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Қоғамдық-педагогикалық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растайтын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тәлімгер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0,5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ӘБ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басшылығы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Екі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тілде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сабақ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қазақ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шетел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орыс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шетел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қазақ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3 балл,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үш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тілде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сабақ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беру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қазақ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орыс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шетел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) = 5 балл</w:t>
            </w:r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11.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Курсқа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дайындық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пәндік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дайындық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сертификаттары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-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цифрлық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сауаттылық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КАЗТЕСТ,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IELTS;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TOEFL;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DELF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сертификаттары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Goethe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Zertifikat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"Python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тілінде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бағдарламалау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негіздері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программалары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оқыту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, "Microsoft"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Курсера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жұмыстарына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оқыту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Халықаралық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: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TEFL Cambridge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"CELTA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(Certificate in Teaching English to Speakers of Other Languages)"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CELT-P (Certificate in English Language Teaching – Primary)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DELTA (Diploma in Teaching English to Speakers of Other Languages)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CELT-S (Certificate in English Language Teaching – Secondary)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"TKT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Teaching Knowledge Test"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Certificate in EMI Skills (English as a Medium of Instruction)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Teacher of English to Speakers of Other Languages (TESOL)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"TESOL"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Certificate in teaching English for young learners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International House Certificate in Teaching English as a Foreign Language (IHC)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IHCYLT - International House Certificate In Teaching Young </w:t>
            </w: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Learners and Teenagers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Becoming a Better Teacher: Exploring Professional Development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Maths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Teaching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Online Teaching for Educators: Development and Delivery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Educational Management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Key Ideas in Mentoring Mathematics Teachers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платформе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Coursera,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Futute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learn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Teaching Mathematics with Technology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Special Educational Needs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"Developing expertise in teaching chemistry "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ПШО, НЗМ, 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Өрлеу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курстары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= 0,5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Қазақстан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Республикасы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министрінің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2016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28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қаңтардағы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№ 95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бұйрығына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сәйкес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тізбеге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енгізілген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біліктілікті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арттыру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ұйымдары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іске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асыратын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саласындағы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уәкілетті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органмен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келісілген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бағдарламалар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біліктілікті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арттыру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курстары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Нормативтік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құқықтық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актілерді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тіркеу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тізілімінде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№ 30068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болып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тіркелген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= 0,5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әрқайсысы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жеке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12.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гранты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алған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орнынан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кейінгі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ұйымының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түлегі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, 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Дипломмен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ауылға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!", 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Серпін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бағдарламаларының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қатысушысы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Жұмыспен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қамту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орталығы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жастар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тәжірибесі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жіберілген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гранты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иегерінің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келісім-шарты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3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қосылады</w:t>
            </w:r>
            <w:proofErr w:type="spellEnd"/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Барлығы</w:t>
            </w:r>
            <w:proofErr w:type="spellEnd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76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</w:p>
        </w:tc>
      </w:tr>
    </w:tbl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Pr="00903542" w:rsidRDefault="00903542" w:rsidP="004D4DCA">
      <w:pPr>
        <w:spacing w:after="0" w:line="240" w:lineRule="auto"/>
        <w:jc w:val="center"/>
        <w:rPr>
          <w:b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E24FF"/>
    <w:multiLevelType w:val="hybridMultilevel"/>
    <w:tmpl w:val="1BCE2964"/>
    <w:lvl w:ilvl="0" w:tplc="6B6811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006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129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9D5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542A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04BE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7CF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2095"/>
    <w:rsid w:val="006F378C"/>
    <w:rsid w:val="006F37CD"/>
    <w:rsid w:val="006F7468"/>
    <w:rsid w:val="00713E68"/>
    <w:rsid w:val="0072502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A7845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3542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2F04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F7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5E67"/>
    <w:rsid w:val="00CB6B4F"/>
    <w:rsid w:val="00CB7B0D"/>
    <w:rsid w:val="00CC0647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5CA9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28C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C715E-F011-49FF-B3FA-335B068D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38</cp:revision>
  <cp:lastPrinted>2022-02-21T04:12:00Z</cp:lastPrinted>
  <dcterms:created xsi:type="dcterms:W3CDTF">2022-02-18T12:04:00Z</dcterms:created>
  <dcterms:modified xsi:type="dcterms:W3CDTF">2023-08-09T12:35:00Z</dcterms:modified>
</cp:coreProperties>
</file>