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FF" w:rsidRPr="00CF2CCB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CF2CCB">
        <w:rPr>
          <w:b/>
        </w:rPr>
        <w:t>КГКП «</w:t>
      </w:r>
      <w:r w:rsidRPr="00CF2CCB">
        <w:rPr>
          <w:b/>
          <w:lang w:val="kk-KZ"/>
        </w:rPr>
        <w:t>Дошкольная гимназия</w:t>
      </w:r>
      <w:r w:rsidRPr="00CF2CCB">
        <w:rPr>
          <w:b/>
        </w:rPr>
        <w:t xml:space="preserve"> № </w:t>
      </w:r>
      <w:r w:rsidRPr="00CF2CCB">
        <w:rPr>
          <w:b/>
          <w:lang w:val="kk-KZ"/>
        </w:rPr>
        <w:t xml:space="preserve">6 </w:t>
      </w:r>
      <w:r w:rsidRPr="00CF2CCB">
        <w:rPr>
          <w:b/>
        </w:rPr>
        <w:t xml:space="preserve">города </w:t>
      </w:r>
      <w:proofErr w:type="gramStart"/>
      <w:r w:rsidRPr="00CF2CCB">
        <w:rPr>
          <w:b/>
        </w:rPr>
        <w:t xml:space="preserve">Павлодара» </w:t>
      </w:r>
      <w:r w:rsidRPr="00CF2CCB">
        <w:rPr>
          <w:b/>
          <w:lang w:val="kk-KZ"/>
        </w:rPr>
        <w:t xml:space="preserve"> </w:t>
      </w:r>
      <w:r w:rsidRPr="00CF2CCB">
        <w:rPr>
          <w:b/>
        </w:rPr>
        <w:t>объявляет</w:t>
      </w:r>
      <w:proofErr w:type="gramEnd"/>
      <w:r w:rsidRPr="00CF2CCB">
        <w:rPr>
          <w:b/>
        </w:rPr>
        <w:t xml:space="preserve">  конкурс </w:t>
      </w:r>
      <w:r w:rsidR="008526B2">
        <w:rPr>
          <w:b/>
          <w:lang w:val="kk-KZ"/>
        </w:rPr>
        <w:t>на временно вакантную должность</w:t>
      </w:r>
      <w:r w:rsidR="008526B2" w:rsidRPr="008526B2">
        <w:rPr>
          <w:b/>
          <w:sz w:val="28"/>
        </w:rPr>
        <w:t xml:space="preserve"> </w:t>
      </w:r>
      <w:proofErr w:type="spellStart"/>
      <w:r w:rsidRPr="00CF2CCB">
        <w:rPr>
          <w:b/>
        </w:rPr>
        <w:t>хореогр</w:t>
      </w:r>
      <w:proofErr w:type="spellEnd"/>
      <w:r w:rsidR="00CF2CCB" w:rsidRPr="00CF2CCB">
        <w:rPr>
          <w:b/>
          <w:lang w:val="kk-KZ"/>
        </w:rPr>
        <w:t xml:space="preserve">афа </w:t>
      </w:r>
      <w:r w:rsidRPr="00CF2CCB">
        <w:rPr>
          <w:b/>
          <w:lang w:val="kk-KZ"/>
        </w:rPr>
        <w:t>с государственным языком обучения</w:t>
      </w:r>
    </w:p>
    <w:p w:rsidR="00A676FF" w:rsidRDefault="00A676FF" w:rsidP="00A676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W w:w="9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0"/>
        <w:gridCol w:w="6943"/>
      </w:tblGrid>
      <w:tr w:rsidR="00A676FF" w:rsidTr="00A676FF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rPr>
          <w:trHeight w:val="45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A676FF" w:rsidTr="00A676FF">
        <w:trPr>
          <w:trHeight w:val="26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A676FF" w:rsidTr="00A676FF">
        <w:trPr>
          <w:trHeight w:val="20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A676FF" w:rsidTr="00A676FF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6028B8" w:rsidP="006028B8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bookmarkStart w:id="0" w:name="_GoBack"/>
            <w:bookmarkEnd w:id="0"/>
            <w:r w:rsidR="00A676FF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A676FF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="00A676FF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="00A676FF">
              <w:rPr>
                <w:rFonts w:ascii="Times New Roman" w:hAnsi="Times New Roman" w:cs="Times New Roman"/>
              </w:rPr>
              <w:t>учителя</w:t>
            </w:r>
            <w:r w:rsidR="00A676FF">
              <w:rPr>
                <w:rFonts w:ascii="Times New Roman" w:hAnsi="Times New Roman" w:cs="Times New Roman"/>
                <w:lang w:val="kk-KZ"/>
              </w:rPr>
              <w:t xml:space="preserve">     казахского </w:t>
            </w:r>
            <w:proofErr w:type="gramStart"/>
            <w:r w:rsidR="00A676FF">
              <w:rPr>
                <w:rFonts w:ascii="Times New Roman" w:hAnsi="Times New Roman" w:cs="Times New Roman"/>
                <w:lang w:val="kk-KZ"/>
              </w:rPr>
              <w:t>языка  с</w:t>
            </w:r>
            <w:proofErr w:type="gramEnd"/>
            <w:r w:rsidR="00A676FF">
              <w:rPr>
                <w:rFonts w:ascii="Times New Roman" w:hAnsi="Times New Roman" w:cs="Times New Roman"/>
                <w:lang w:val="kk-KZ"/>
              </w:rPr>
              <w:t xml:space="preserve"> государственным языком на 1 ставку</w:t>
            </w:r>
          </w:p>
        </w:tc>
      </w:tr>
      <w:tr w:rsidR="00A676FF" w:rsidTr="00A676FF">
        <w:trPr>
          <w:trHeight w:val="825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CF2C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4"/>
                <w:rFonts w:asciiTheme="minorHAnsi" w:eastAsiaTheme="minorEastAsia" w:hAnsiTheme="minorHAnsi" w:cstheme="minorBidi"/>
                <w:b w:val="0"/>
                <w:sz w:val="22"/>
                <w:szCs w:val="22"/>
                <w:lang w:val="kk-KZ"/>
              </w:rPr>
              <w:t>-</w:t>
            </w:r>
            <w:r w:rsidR="00A676FF" w:rsidRPr="00CF2CCB">
              <w:rPr>
                <w:b/>
                <w:color w:val="000000"/>
                <w:spacing w:val="2"/>
              </w:rPr>
              <w:t>Осуществляет м</w:t>
            </w:r>
            <w:r w:rsidR="00A676FF">
              <w:rPr>
                <w:color w:val="000000"/>
                <w:spacing w:val="2"/>
              </w:rPr>
              <w:t>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рганизует и проводит 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хореографические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Консультирует родит</w:t>
            </w:r>
            <w:r w:rsidR="00CF2CCB">
              <w:rPr>
                <w:rFonts w:ascii="Times New Roman" w:hAnsi="Times New Roman" w:cs="Times New Roman"/>
              </w:rPr>
              <w:t>елей и воспитателей по вопросам</w:t>
            </w:r>
            <w:r w:rsidR="00CF2CCB">
              <w:rPr>
                <w:rFonts w:ascii="Times New Roman" w:hAnsi="Times New Roman" w:cs="Times New Roman"/>
                <w:lang w:val="kk-KZ"/>
              </w:rPr>
              <w:t xml:space="preserve"> хореографии</w:t>
            </w:r>
            <w:r>
              <w:rPr>
                <w:rFonts w:ascii="Times New Roman" w:hAnsi="Times New Roman" w:cs="Times New Roman"/>
              </w:rPr>
              <w:t xml:space="preserve"> воспитания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A676FF" w:rsidTr="00A676FF">
        <w:trPr>
          <w:trHeight w:val="63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характеристиками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педагогов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18E4" w:rsidRDefault="00DC2548" w:rsidP="002618E4">
            <w:pPr>
              <w:spacing w:line="345" w:lineRule="atLeast"/>
              <w:jc w:val="both"/>
              <w:textAlignment w:val="baseline"/>
              <w:outlineLvl w:val="2"/>
              <w:rPr>
                <w:b/>
                <w:b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8.09.23-18.09.2023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9)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>
        <w:rPr>
          <w:rFonts w:ascii="Times New Roman" w:hAnsi="Times New Roman" w:cs="Times New Roman"/>
        </w:rPr>
        <w:t>   </w:t>
      </w:r>
      <w:bookmarkEnd w:id="1"/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676FF" w:rsidTr="00A676FF">
        <w:trPr>
          <w:trHeight w:val="781"/>
        </w:trPr>
        <w:tc>
          <w:tcPr>
            <w:tcW w:w="5920" w:type="dxa"/>
          </w:tcPr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pStyle w:val="aa"/>
        <w:jc w:val="center"/>
        <w:rPr>
          <w:rFonts w:ascii="Times New Roman" w:hAnsi="Times New Roman" w:cs="Times New Roman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_____________________________________________________________________________</w:t>
      </w: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(при его наличии))</w:t>
      </w:r>
    </w:p>
    <w:tbl>
      <w:tblPr>
        <w:tblpPr w:leftFromText="180" w:rightFromText="180" w:vertAnchor="text" w:horzAnchor="margin" w:tblpXSpec="center" w:tblpY="17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CF2CCB" w:rsidTr="00CF2CCB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CF2CCB" w:rsidTr="00CF2CCB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учебное заведение по последнему месту </w:t>
            </w:r>
            <w:r>
              <w:rPr>
                <w:rFonts w:ascii="Times New Roman" w:eastAsia="Calibri" w:hAnsi="Times New Roman" w:cs="Times New Roman"/>
              </w:rPr>
              <w:lastRenderedPageBreak/>
              <w:t>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баллов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F2CCB" w:rsidTr="00CF2CCB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наличие публикации по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 балла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балла,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39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ЦПМ НИШ, </w:t>
            </w: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>
              <w:rPr>
                <w:rFonts w:ascii="Times New Roman" w:eastAsia="Calibri" w:hAnsi="Times New Roman" w:cs="Times New Roman"/>
              </w:rPr>
              <w:t>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A676FF" w:rsidRPr="00CF2CCB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676FF" w:rsidTr="00A676FF">
        <w:trPr>
          <w:trHeight w:val="781"/>
        </w:trPr>
        <w:tc>
          <w:tcPr>
            <w:tcW w:w="5495" w:type="dxa"/>
          </w:tcPr>
          <w:p w:rsidR="00A676FF" w:rsidRDefault="00A676F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государственный орган, объявивший конкурс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место работы)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/>
        <w:rPr>
          <w:rFonts w:ascii="Times New Roman" w:hAnsi="Times New Roman" w:cs="Times New Roman"/>
          <w:b/>
          <w:lang w:val="kk-KZ"/>
        </w:rPr>
      </w:pPr>
    </w:p>
    <w:p w:rsidR="00A676FF" w:rsidRDefault="00A676FF" w:rsidP="00A676F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Заявление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должности (нужное подчеркнуть)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 настоящее время работаю: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676FF" w:rsidTr="00A676FF">
        <w:trPr>
          <w:trHeight w:val="95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A676FF" w:rsidTr="00A676FF">
        <w:trPr>
          <w:trHeight w:val="9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lang w:val="kk-KZ"/>
        </w:rPr>
        <w:t>/</w:t>
      </w:r>
      <w:r>
        <w:rPr>
          <w:rFonts w:ascii="Times New Roman" w:hAnsi="Times New Roman" w:cs="Times New Roman"/>
        </w:rPr>
        <w:t>подтверждения</w:t>
      </w:r>
      <w:proofErr w:type="gramStart"/>
      <w:r>
        <w:rPr>
          <w:rFonts w:ascii="Times New Roman" w:hAnsi="Times New Roman" w:cs="Times New Roman"/>
        </w:rPr>
        <w:t>):_</w:t>
      </w:r>
      <w:proofErr w:type="gramEnd"/>
      <w:r>
        <w:rPr>
          <w:rFonts w:ascii="Times New Roman" w:hAnsi="Times New Roman" w:cs="Times New Roman"/>
        </w:rPr>
        <w:t>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Стаж педагогической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Имею следующие результаты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  </w:t>
      </w:r>
      <w:proofErr w:type="gramEnd"/>
      <w:r>
        <w:rPr>
          <w:rFonts w:ascii="Times New Roman" w:hAnsi="Times New Roman" w:cs="Times New Roman"/>
          <w:i/>
        </w:rPr>
        <w:t xml:space="preserve">                </w:t>
      </w:r>
      <w:r w:rsidR="006028B8">
        <w:pict>
          <v:shape id="Полилиния 19" o:spid="_x0000_s1041" style="position:absolute;left:0;text-align:left;margin-left:42pt;margin-top:18.1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6028B8">
        <w:pict>
          <v:shape id="Полилиния 18" o:spid="_x0000_s1042" style="position:absolute;left:0;text-align:left;margin-left:42pt;margin-top:36.5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sectPr w:rsidR="00A676FF" w:rsidSect="00CF2CC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953"/>
    <w:rsid w:val="00010ED9"/>
    <w:rsid w:val="0001306E"/>
    <w:rsid w:val="00063865"/>
    <w:rsid w:val="000D160F"/>
    <w:rsid w:val="00111606"/>
    <w:rsid w:val="001B3ED1"/>
    <w:rsid w:val="001D10AC"/>
    <w:rsid w:val="002618E4"/>
    <w:rsid w:val="00271510"/>
    <w:rsid w:val="00286371"/>
    <w:rsid w:val="002961FD"/>
    <w:rsid w:val="00317578"/>
    <w:rsid w:val="00330B18"/>
    <w:rsid w:val="00377C01"/>
    <w:rsid w:val="003B1488"/>
    <w:rsid w:val="003C6F6E"/>
    <w:rsid w:val="00413099"/>
    <w:rsid w:val="00420A4D"/>
    <w:rsid w:val="004332DC"/>
    <w:rsid w:val="004C4357"/>
    <w:rsid w:val="004E6BC0"/>
    <w:rsid w:val="004F749C"/>
    <w:rsid w:val="005A29E7"/>
    <w:rsid w:val="005A4FD0"/>
    <w:rsid w:val="005B6EFB"/>
    <w:rsid w:val="005F7FCC"/>
    <w:rsid w:val="006028B8"/>
    <w:rsid w:val="00675AFC"/>
    <w:rsid w:val="0069183F"/>
    <w:rsid w:val="006C1E5C"/>
    <w:rsid w:val="006F5A51"/>
    <w:rsid w:val="007A7D1D"/>
    <w:rsid w:val="008526B2"/>
    <w:rsid w:val="008B377F"/>
    <w:rsid w:val="008B7AA6"/>
    <w:rsid w:val="008C0EEF"/>
    <w:rsid w:val="008D5350"/>
    <w:rsid w:val="008F18B5"/>
    <w:rsid w:val="009F0406"/>
    <w:rsid w:val="00A31E5C"/>
    <w:rsid w:val="00A676FF"/>
    <w:rsid w:val="00AB7043"/>
    <w:rsid w:val="00B224CB"/>
    <w:rsid w:val="00B364E4"/>
    <w:rsid w:val="00B71B4E"/>
    <w:rsid w:val="00B721AC"/>
    <w:rsid w:val="00BB3252"/>
    <w:rsid w:val="00BD19EF"/>
    <w:rsid w:val="00BE7A06"/>
    <w:rsid w:val="00BF65D4"/>
    <w:rsid w:val="00C15655"/>
    <w:rsid w:val="00C46953"/>
    <w:rsid w:val="00C771C3"/>
    <w:rsid w:val="00CA19CE"/>
    <w:rsid w:val="00CF2CCB"/>
    <w:rsid w:val="00D044E9"/>
    <w:rsid w:val="00D27C53"/>
    <w:rsid w:val="00D321FE"/>
    <w:rsid w:val="00D544AD"/>
    <w:rsid w:val="00D570A3"/>
    <w:rsid w:val="00DB4E62"/>
    <w:rsid w:val="00DC2548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23286AB-7279-4681-A510-E89CF77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6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1704</Words>
  <Characters>9719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68</cp:revision>
  <dcterms:created xsi:type="dcterms:W3CDTF">2022-07-12T11:41:00Z</dcterms:created>
  <dcterms:modified xsi:type="dcterms:W3CDTF">2023-09-07T06:57:00Z</dcterms:modified>
</cp:coreProperties>
</file>