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15" w:rsidRPr="00482900" w:rsidRDefault="00224E15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t>І. НОРМАТИВТІК ҚҰЖАТТАРДЫҢ ОРЫНДАЛУЫН ЖӘНЕ ТАЛАПТАРҒА СӘЙКЕС МЕКТЕП ҚҰЖАТТАМАСЫНЫҢ ЖҮРГІЗІЛУІН БАҚЫЛАУ</w:t>
      </w:r>
    </w:p>
    <w:p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74"/>
        <w:gridCol w:w="2663"/>
        <w:gridCol w:w="1732"/>
        <w:gridCol w:w="992"/>
        <w:gridCol w:w="1134"/>
        <w:gridCol w:w="1134"/>
        <w:gridCol w:w="1244"/>
        <w:gridCol w:w="1135"/>
        <w:gridCol w:w="850"/>
        <w:gridCol w:w="851"/>
      </w:tblGrid>
      <w:tr w:rsidR="00B26144" w:rsidRPr="007E6BBF" w:rsidTr="0020466C">
        <w:trPr>
          <w:trHeight w:val="30"/>
        </w:trPr>
        <w:tc>
          <w:tcPr>
            <w:tcW w:w="3574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2663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732" w:type="dxa"/>
            <w:vAlign w:val="center"/>
          </w:tcPr>
          <w:p w:rsidR="00657315" w:rsidRPr="007E6BBF" w:rsidRDefault="006573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  <w:p w:rsidR="00B26144" w:rsidRPr="007E6BBF" w:rsidRDefault="00B2614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134" w:type="dxa"/>
            <w:vAlign w:val="center"/>
          </w:tcPr>
          <w:p w:rsidR="00B26144" w:rsidRPr="007E6BBF" w:rsidRDefault="0033583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формасы/ әдістері</w:t>
            </w:r>
          </w:p>
        </w:tc>
        <w:tc>
          <w:tcPr>
            <w:tcW w:w="1134" w:type="dxa"/>
            <w:vAlign w:val="center"/>
          </w:tcPr>
          <w:p w:rsidR="00657315" w:rsidRPr="007E6BBF" w:rsidRDefault="006573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мерзімдері</w:t>
            </w:r>
          </w:p>
          <w:p w:rsidR="00B26144" w:rsidRPr="007E6BBF" w:rsidRDefault="00B2614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Жауаптылар</w:t>
            </w:r>
          </w:p>
        </w:tc>
        <w:tc>
          <w:tcPr>
            <w:tcW w:w="1135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850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Басқарушылық шешім</w:t>
            </w:r>
          </w:p>
        </w:tc>
        <w:tc>
          <w:tcPr>
            <w:tcW w:w="851" w:type="dxa"/>
            <w:vAlign w:val="center"/>
          </w:tcPr>
          <w:p w:rsidR="00B26144" w:rsidRPr="007E6BBF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Күнтізбелік-тақырыптық жоспар мазмұнының үлгілік оқу бағдарламаларына сәйкестігі.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КТЖ және Үлгілік оқу бағдарламасы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 /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Тамыз </w:t>
            </w:r>
          </w:p>
        </w:tc>
        <w:tc>
          <w:tcPr>
            <w:tcW w:w="1244" w:type="dxa"/>
            <w:vAlign w:val="center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35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 отырыс</w:t>
            </w:r>
          </w:p>
        </w:tc>
        <w:tc>
          <w:tcPr>
            <w:tcW w:w="850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6BBF" w:rsidRPr="007E6BBF" w:rsidTr="0020466C">
        <w:trPr>
          <w:trHeight w:val="30"/>
        </w:trPr>
        <w:tc>
          <w:tcPr>
            <w:tcW w:w="3574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жұмыс жоспарының Үлгілік оқу жоспарына сәйкестігі</w:t>
            </w:r>
          </w:p>
        </w:tc>
        <w:tc>
          <w:tcPr>
            <w:tcW w:w="2663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жұмыс жоспарынының  үлгілік оқу жоспарына сәйкестігін анықтау(ҚР БҒМ 2012 жылғы 8 қарашадағы № 500 бұйрығы)</w:t>
            </w:r>
            <w:r w:rsidR="0022204E">
              <w:rPr>
                <w:rFonts w:ascii="Times New Roman" w:eastAsia="Times New Roman" w:hAnsi="Times New Roman" w:cs="Times New Roman"/>
                <w:sz w:val="16"/>
                <w:szCs w:val="16"/>
              </w:rPr>
              <w:t>, (өзгерістермен 2022жылғы 30қыркүйектегі №412 бұйрығы және 2023 жылғы 18 тамыздағы №264 бұйрығы)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жұмыс жоспары</w:t>
            </w:r>
          </w:p>
        </w:tc>
        <w:tc>
          <w:tcPr>
            <w:tcW w:w="992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Фронталды </w:t>
            </w:r>
          </w:p>
        </w:tc>
        <w:tc>
          <w:tcPr>
            <w:tcW w:w="1134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 /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Тамыз </w:t>
            </w:r>
          </w:p>
        </w:tc>
        <w:tc>
          <w:tcPr>
            <w:tcW w:w="1244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35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</w:t>
            </w:r>
          </w:p>
        </w:tc>
        <w:tc>
          <w:tcPr>
            <w:tcW w:w="850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663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КТЖ ны әзірлеудің дұрыстығын анықтау </w:t>
            </w:r>
          </w:p>
        </w:tc>
        <w:tc>
          <w:tcPr>
            <w:tcW w:w="173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жұмыс жоспары, дәрігер құжаттамалары</w:t>
            </w:r>
          </w:p>
        </w:tc>
        <w:tc>
          <w:tcPr>
            <w:tcW w:w="99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/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Д.С.Кайдагулова</w:t>
            </w:r>
          </w:p>
        </w:tc>
        <w:tc>
          <w:tcPr>
            <w:tcW w:w="1135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</w:t>
            </w: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алушылардың жеке іс-қағаздарының жағдайы</w:t>
            </w: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Құжаттардың талапқа сай толтырылуын қамтамсыз ету.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Фронталды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 /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 </w:t>
            </w:r>
            <w:r w:rsidR="00C22F86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</w:p>
        </w:tc>
        <w:tc>
          <w:tcPr>
            <w:tcW w:w="1244" w:type="dxa"/>
            <w:vAlign w:val="center"/>
          </w:tcPr>
          <w:p w:rsidR="00F035A8" w:rsidRPr="007E6BBF" w:rsidRDefault="00C22F8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Іс жүргізуші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66C" w:rsidRPr="007E6BBF" w:rsidTr="0020466C">
        <w:trPr>
          <w:trHeight w:val="540"/>
        </w:trPr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20466C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Электронды журналдың толтырылу жағдайы </w:t>
            </w:r>
          </w:p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3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732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Электронды журнал </w:t>
            </w:r>
          </w:p>
        </w:tc>
        <w:tc>
          <w:tcPr>
            <w:tcW w:w="992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/ </w:t>
            </w:r>
          </w:p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1244" w:type="dxa"/>
            <w:vMerge w:val="restart"/>
            <w:vAlign w:val="center"/>
          </w:tcPr>
          <w:p w:rsidR="0020466C" w:rsidRDefault="00C95BC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.Б.Асаинов</w:t>
            </w:r>
          </w:p>
          <w:p w:rsidR="00C95BC6" w:rsidRDefault="00C95BC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  <w:p w:rsidR="00C95BC6" w:rsidRPr="00C95BC6" w:rsidRDefault="00C95BC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35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отырыс</w:t>
            </w:r>
          </w:p>
        </w:tc>
        <w:tc>
          <w:tcPr>
            <w:tcW w:w="850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66C" w:rsidRPr="007E6BBF" w:rsidTr="0020466C">
        <w:trPr>
          <w:trHeight w:val="195"/>
        </w:trPr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БЖБ,ТЖБ нормасын тексеру</w:t>
            </w:r>
          </w:p>
        </w:tc>
        <w:tc>
          <w:tcPr>
            <w:tcW w:w="2663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Тоқсан соңында</w:t>
            </w:r>
          </w:p>
        </w:tc>
        <w:tc>
          <w:tcPr>
            <w:tcW w:w="124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66C" w:rsidRPr="007E6BBF" w:rsidTr="0020466C">
        <w:trPr>
          <w:trHeight w:val="184"/>
        </w:trPr>
        <w:tc>
          <w:tcPr>
            <w:tcW w:w="3574" w:type="dxa"/>
            <w:vMerge w:val="restart"/>
            <w:tcBorders>
              <w:top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Бағалардың қойылу жүйесін бақылау</w:t>
            </w:r>
          </w:p>
        </w:tc>
        <w:tc>
          <w:tcPr>
            <w:tcW w:w="2663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466C" w:rsidRPr="007E6BBF" w:rsidTr="0020466C">
        <w:trPr>
          <w:trHeight w:val="195"/>
        </w:trPr>
        <w:tc>
          <w:tcPr>
            <w:tcW w:w="357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3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0466C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Жаппай оқумен қамтылу жағдайы</w:t>
            </w: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ҰБДҚ-на оқушылардың тіркелуін бақылау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ҰБДҚ қоры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шы бақылау /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Қаңтар </w:t>
            </w:r>
          </w:p>
        </w:tc>
        <w:tc>
          <w:tcPr>
            <w:tcW w:w="1244" w:type="dxa"/>
            <w:vAlign w:val="center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Б.Шамшарив</w:t>
            </w:r>
          </w:p>
        </w:tc>
        <w:tc>
          <w:tcPr>
            <w:tcW w:w="1135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отырыс</w:t>
            </w: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1486"/>
        </w:trPr>
        <w:tc>
          <w:tcPr>
            <w:tcW w:w="357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аттестаттаудың тиімділігі</w:t>
            </w:r>
          </w:p>
        </w:tc>
        <w:tc>
          <w:tcPr>
            <w:tcW w:w="2663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73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Педагогтар құжаттамасы  (білім сапасы)</w:t>
            </w:r>
          </w:p>
        </w:tc>
        <w:tc>
          <w:tcPr>
            <w:tcW w:w="99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Тақырыптық 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Персоналды бақылау / 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ҚыркүйекҚаңтар </w:t>
            </w:r>
          </w:p>
        </w:tc>
        <w:tc>
          <w:tcPr>
            <w:tcW w:w="1244" w:type="dxa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35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</w:t>
            </w:r>
          </w:p>
        </w:tc>
        <w:tc>
          <w:tcPr>
            <w:tcW w:w="850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6BBF" w:rsidRPr="007E6BBF" w:rsidTr="0020466C">
        <w:trPr>
          <w:trHeight w:val="1486"/>
        </w:trPr>
        <w:tc>
          <w:tcPr>
            <w:tcW w:w="357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Мектеп асханасында тамақтануды ұйымдастырудың жағдайы</w:t>
            </w:r>
          </w:p>
        </w:tc>
        <w:tc>
          <w:tcPr>
            <w:tcW w:w="2663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732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Асхана, ас мәзірі </w:t>
            </w:r>
          </w:p>
        </w:tc>
        <w:tc>
          <w:tcPr>
            <w:tcW w:w="992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Фронталды </w:t>
            </w:r>
          </w:p>
        </w:tc>
        <w:tc>
          <w:tcPr>
            <w:tcW w:w="113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 /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13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Ай сайын </w:t>
            </w:r>
          </w:p>
        </w:tc>
        <w:tc>
          <w:tcPr>
            <w:tcW w:w="1244" w:type="dxa"/>
            <w:vAlign w:val="center"/>
          </w:tcPr>
          <w:p w:rsid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Б.Шамшарив</w:t>
            </w:r>
          </w:p>
          <w:p w:rsidR="00C22F86" w:rsidRPr="007E6BBF" w:rsidRDefault="00C22F8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850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6BBF" w:rsidRPr="007E6BBF" w:rsidTr="0020466C">
        <w:trPr>
          <w:trHeight w:val="1486"/>
        </w:trPr>
        <w:tc>
          <w:tcPr>
            <w:tcW w:w="357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663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732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Хаттамалар , бұйрықтар</w:t>
            </w:r>
          </w:p>
        </w:tc>
        <w:tc>
          <w:tcPr>
            <w:tcW w:w="992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 /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Желтоқсан </w:t>
            </w:r>
          </w:p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Мамыр </w:t>
            </w:r>
          </w:p>
        </w:tc>
        <w:tc>
          <w:tcPr>
            <w:tcW w:w="1244" w:type="dxa"/>
            <w:vAlign w:val="center"/>
          </w:tcPr>
          <w:p w:rsid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 М.А.Мухтарова Б.Шамшарив</w:t>
            </w:r>
          </w:p>
          <w:p w:rsidR="00C22F86" w:rsidRPr="007E6BBF" w:rsidRDefault="00C22F86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</w:t>
            </w:r>
          </w:p>
        </w:tc>
        <w:tc>
          <w:tcPr>
            <w:tcW w:w="1135" w:type="dxa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E6BBF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Нұсқаулық журнал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Тақырыптық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Қыркүйек </w:t>
            </w:r>
          </w:p>
        </w:tc>
        <w:tc>
          <w:tcPr>
            <w:tcW w:w="1244" w:type="dxa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М.А.Мухтарова</w:t>
            </w:r>
          </w:p>
        </w:tc>
        <w:tc>
          <w:tcPr>
            <w:tcW w:w="1135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Білім алушылардың қорытынды аттестаттауын өткізу </w:t>
            </w:r>
          </w:p>
        </w:tc>
        <w:tc>
          <w:tcPr>
            <w:tcW w:w="2663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Мемлекеттік емтихандарды өткізу кестесінің сақталуы</w:t>
            </w:r>
          </w:p>
        </w:tc>
        <w:tc>
          <w:tcPr>
            <w:tcW w:w="173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Құжаттар </w:t>
            </w:r>
          </w:p>
        </w:tc>
        <w:tc>
          <w:tcPr>
            <w:tcW w:w="992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бақылау /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</w:t>
            </w:r>
            <w:r w:rsidR="00C22F86">
              <w:rPr>
                <w:rFonts w:ascii="Times New Roman" w:eastAsia="Times New Roman" w:hAnsi="Times New Roman" w:cs="Times New Roman"/>
                <w:sz w:val="16"/>
                <w:szCs w:val="16"/>
              </w:rPr>
              <w:t>-маусым</w:t>
            </w:r>
          </w:p>
        </w:tc>
        <w:tc>
          <w:tcPr>
            <w:tcW w:w="1244" w:type="dxa"/>
          </w:tcPr>
          <w:p w:rsidR="00F035A8" w:rsidRPr="007E6BBF" w:rsidRDefault="007E6BBF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</w:tc>
        <w:tc>
          <w:tcPr>
            <w:tcW w:w="1135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орынбасары жанындағы отырыс</w:t>
            </w:r>
          </w:p>
        </w:tc>
        <w:tc>
          <w:tcPr>
            <w:tcW w:w="850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Алфавиттік кітапты жүргізу талаптарының орындалыуы</w:t>
            </w: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Алфавиттік кітап 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Кешенді-жалпылаушы бақылау / 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Құжаттар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мен танысу 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Тоқсан сайын  </w:t>
            </w:r>
          </w:p>
        </w:tc>
        <w:tc>
          <w:tcPr>
            <w:tcW w:w="1244" w:type="dxa"/>
            <w:vAlign w:val="center"/>
          </w:tcPr>
          <w:p w:rsidR="00F035A8" w:rsidRPr="007E6BBF" w:rsidRDefault="0020466C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Хатшы </w:t>
            </w:r>
          </w:p>
        </w:tc>
        <w:tc>
          <w:tcPr>
            <w:tcW w:w="1135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35A8" w:rsidRPr="007E6BBF" w:rsidTr="0020466C">
        <w:trPr>
          <w:trHeight w:val="30"/>
        </w:trPr>
        <w:tc>
          <w:tcPr>
            <w:tcW w:w="357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Оқулықтардың, оқу-әдістемелік кешендердің берілуі </w:t>
            </w:r>
          </w:p>
        </w:tc>
        <w:tc>
          <w:tcPr>
            <w:tcW w:w="2663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73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Оқулық қоры  </w:t>
            </w:r>
          </w:p>
        </w:tc>
        <w:tc>
          <w:tcPr>
            <w:tcW w:w="992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134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 / оқулықтар қорымен және оларды</w:t>
            </w:r>
          </w:p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 арасында ашық түрде тарату ж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ұмыстарымен </w:t>
            </w:r>
            <w:proofErr w:type="spellStart"/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танысу</w:t>
            </w:r>
            <w:proofErr w:type="spellEnd"/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035A8" w:rsidRPr="007E6BBF" w:rsidRDefault="0020466C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 </w:t>
            </w:r>
          </w:p>
        </w:tc>
        <w:tc>
          <w:tcPr>
            <w:tcW w:w="1244" w:type="dxa"/>
            <w:vAlign w:val="center"/>
          </w:tcPr>
          <w:p w:rsidR="00F035A8" w:rsidRPr="007E6BBF" w:rsidRDefault="007E6BBF" w:rsidP="007E6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Г.Х.Тукенова</w:t>
            </w:r>
            <w:r w:rsidR="00F035A8"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Г.Р.Мухеметжарова</w:t>
            </w:r>
          </w:p>
        </w:tc>
        <w:tc>
          <w:tcPr>
            <w:tcW w:w="1135" w:type="dxa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035A8" w:rsidRPr="007E6BBF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6A8" w:rsidRPr="00482900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144" w:rsidRPr="007E6BBF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144" w:rsidRPr="007E6BBF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144" w:rsidRPr="007E6BBF" w:rsidRDefault="00224E15" w:rsidP="00650AE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ІІ. ОҚУ ПРОЦЕСІНІҢ САПАСЫН БАҚЫЛАУ</w:t>
      </w:r>
    </w:p>
    <w:p w:rsidR="00B26144" w:rsidRPr="007E6BBF" w:rsidRDefault="00224E15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t>Мақсаты</w:t>
      </w:r>
      <w:r w:rsidRPr="007E6BBF">
        <w:rPr>
          <w:rFonts w:ascii="Times New Roman" w:eastAsia="Times New Roman" w:hAnsi="Times New Roman" w:cs="Times New Roman"/>
          <w:sz w:val="16"/>
          <w:szCs w:val="16"/>
        </w:rPr>
        <w:t>: мектептегі педагогикалық процестің қызмет етуі мен дамуының мемлекеттік білім беру стандартының талапта</w:t>
      </w:r>
      <w:r w:rsidR="009618F8" w:rsidRPr="007E6BBF">
        <w:rPr>
          <w:rFonts w:ascii="Times New Roman" w:eastAsia="Times New Roman" w:hAnsi="Times New Roman" w:cs="Times New Roman"/>
          <w:sz w:val="16"/>
          <w:szCs w:val="16"/>
        </w:rPr>
        <w:t xml:space="preserve">рына сәйкес келуіне қол жеткізу, </w:t>
      </w:r>
      <w:r w:rsidRPr="007E6BBF">
        <w:rPr>
          <w:rFonts w:ascii="Times New Roman" w:eastAsia="Times New Roman" w:hAnsi="Times New Roman" w:cs="Times New Roman"/>
          <w:sz w:val="16"/>
          <w:szCs w:val="16"/>
        </w:rPr>
        <w:t>оқушылардың жеке ерекшеліктерін, қызығушылықтарын, білім алу мүмкіндіктерін, денсаулық жағдайын ескере отырып, білім беру процесін одан әрі жетілдіру.</w:t>
      </w:r>
    </w:p>
    <w:p w:rsidR="00B26144" w:rsidRPr="007E6BBF" w:rsidRDefault="00224E15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t>Оқу процесінің бақылау обьектілері</w:t>
      </w: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</w:p>
    <w:p w:rsidR="00D068FF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- оқу бағдарламаларын орындау, </w:t>
      </w:r>
    </w:p>
    <w:p w:rsidR="00D068FF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>- о</w:t>
      </w:r>
      <w:r w:rsidR="00224E15" w:rsidRPr="007E6BBF">
        <w:rPr>
          <w:rFonts w:ascii="Times New Roman" w:eastAsia="Times New Roman" w:hAnsi="Times New Roman" w:cs="Times New Roman"/>
          <w:sz w:val="16"/>
          <w:szCs w:val="16"/>
        </w:rPr>
        <w:t>қушылардың білім</w:t>
      </w: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 деңгейі мен дағдылары, </w:t>
      </w:r>
    </w:p>
    <w:p w:rsidR="00D068FF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- мұғалім жұмысының өнімділігі, </w:t>
      </w:r>
    </w:p>
    <w:p w:rsidR="00D068FF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- дарынды оқушылармен жеке жұмыс, </w:t>
      </w:r>
    </w:p>
    <w:p w:rsidR="00D068FF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>- с</w:t>
      </w:r>
      <w:r w:rsidR="00224E15" w:rsidRPr="007E6BBF">
        <w:rPr>
          <w:rFonts w:ascii="Times New Roman" w:eastAsia="Times New Roman" w:hAnsi="Times New Roman" w:cs="Times New Roman"/>
          <w:sz w:val="16"/>
          <w:szCs w:val="16"/>
        </w:rPr>
        <w:t>ыныпт</w:t>
      </w:r>
      <w:r w:rsidRPr="007E6BBF">
        <w:rPr>
          <w:rFonts w:ascii="Times New Roman" w:eastAsia="Times New Roman" w:hAnsi="Times New Roman" w:cs="Times New Roman"/>
          <w:sz w:val="16"/>
          <w:szCs w:val="16"/>
        </w:rPr>
        <w:t xml:space="preserve">ан тыс сабақ жұмысының сапасы, </w:t>
      </w:r>
    </w:p>
    <w:p w:rsidR="009618F8" w:rsidRPr="007E6BBF" w:rsidRDefault="00D068FF" w:rsidP="00650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sz w:val="16"/>
          <w:szCs w:val="16"/>
        </w:rPr>
        <w:t>- ор</w:t>
      </w:r>
      <w:r w:rsidR="00224E15" w:rsidRPr="007E6BBF">
        <w:rPr>
          <w:rFonts w:ascii="Times New Roman" w:eastAsia="Times New Roman" w:hAnsi="Times New Roman" w:cs="Times New Roman"/>
          <w:sz w:val="16"/>
          <w:szCs w:val="16"/>
        </w:rPr>
        <w:t>қушылардың өзіндік таным әдістерінің дағдылары.</w:t>
      </w:r>
    </w:p>
    <w:tbl>
      <w:tblPr>
        <w:tblStyle w:val="af6"/>
        <w:tblW w:w="15059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2248"/>
        <w:gridCol w:w="1559"/>
        <w:gridCol w:w="1276"/>
        <w:gridCol w:w="1701"/>
        <w:gridCol w:w="1276"/>
        <w:gridCol w:w="1701"/>
        <w:gridCol w:w="1154"/>
        <w:gridCol w:w="1397"/>
        <w:gridCol w:w="762"/>
      </w:tblGrid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0B6963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Жауаптылар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0B6963" w:rsidRPr="007E6BBF" w:rsidTr="000B6963">
        <w:tc>
          <w:tcPr>
            <w:tcW w:w="1985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«О»білім кесіндісін жүргізу</w:t>
            </w:r>
          </w:p>
        </w:tc>
        <w:tc>
          <w:tcPr>
            <w:tcW w:w="2248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Каникул кезеңінен кейінгі білім деңгейін анықтау </w:t>
            </w:r>
          </w:p>
        </w:tc>
        <w:tc>
          <w:tcPr>
            <w:tcW w:w="1559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фронтальды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ӘБ жетекшілері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650AE0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Халықаралық зерттеулерге дайындық жұмыстары;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ББЖМ, </w:t>
            </w:r>
            <w:r w:rsidRPr="00650AE0">
              <w:rPr>
                <w:rFonts w:ascii="Times New Roman" w:eastAsia="Times New Roman" w:hAnsi="Times New Roman" w:cs="Times New Roman"/>
                <w:sz w:val="16"/>
                <w:szCs w:val="16"/>
              </w:rPr>
              <w:t>PISA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Т</w:t>
            </w:r>
            <w:r w:rsidRPr="00650AE0">
              <w:rPr>
                <w:rFonts w:ascii="Times New Roman" w:eastAsia="Times New Roman" w:hAnsi="Times New Roman" w:cs="Times New Roman"/>
                <w:sz w:val="16"/>
                <w:szCs w:val="16"/>
              </w:rPr>
              <w:t>IMIIS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зерттеу бағыттары, қабілеттері мен зерттеу кезеңдері туралы ақпараттар жинау, мұғалімдердің зерттеушіілік бағытындағы құжаттарын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Халықаралық зерттеулер сайысын өткізу  ережелері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65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Әдістемелік отырыс </w:t>
            </w:r>
          </w:p>
        </w:tc>
        <w:tc>
          <w:tcPr>
            <w:tcW w:w="1397" w:type="dxa"/>
            <w:shd w:val="clear" w:color="auto" w:fill="auto"/>
          </w:tcPr>
          <w:p w:rsidR="000B6963" w:rsidRDefault="000B6963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Мектеп алды даярлық топтарында «Тіл дамыту» сабақтарында 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функционалдық сауаттылықты арттыру жолдары;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функционалдық сауаттылық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Функционалды сауаттылық деңгейі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бақылау/сабақты бақылау</w:t>
            </w:r>
          </w:p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 тәрбие орынбасары 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жанындағы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отырыс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Пәндердің берілуіндегі  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ақпараттық-коммуникациялық технологияларды тиімді пайдалана отырып, оқушылардың логикалық ойлау қабілетін дамыту (3-4 сыныптар). 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Цифрлық сауаттылық (1-2 сыныптар)</w:t>
            </w:r>
          </w:p>
        </w:tc>
        <w:tc>
          <w:tcPr>
            <w:tcW w:w="2248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1559" w:type="dxa"/>
            <w:shd w:val="clear" w:color="auto" w:fill="auto"/>
          </w:tcPr>
          <w:p w:rsidR="000B6963" w:rsidRPr="007E6BBF" w:rsidRDefault="000B6963" w:rsidP="0094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-4- сыныптардағы  сандық сауаттылық пен оқушылардың логикалық ойлау деңгейі.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бақылау/ сабақты бақылау, тестілеу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Бірлестік отырысында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талдау.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Тоқсан бойынша білім сапасының нәтижесі  </w:t>
            </w:r>
          </w:p>
        </w:tc>
        <w:tc>
          <w:tcPr>
            <w:tcW w:w="2248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Білім сапасы нәтижесінің мониторингі </w:t>
            </w:r>
          </w:p>
        </w:tc>
        <w:tc>
          <w:tcPr>
            <w:tcW w:w="1559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1-тоқсандағы білім сапасы 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Педагогикалық кеңес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Тоқсан бойынша жиынтық бағалау қорытындысы </w:t>
            </w:r>
          </w:p>
        </w:tc>
        <w:tc>
          <w:tcPr>
            <w:tcW w:w="2248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Оқудағы кедергілерді диагностикалау, олқылықтарды анықтау.</w:t>
            </w:r>
          </w:p>
        </w:tc>
        <w:tc>
          <w:tcPr>
            <w:tcW w:w="1559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2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Әдістемелік кеңес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1-4 сынып оқушыларының оқу жылдамдығын тексеру;</w:t>
            </w:r>
          </w:p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оқылым дағдыларының деңгейін анықтау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1-4 сыныптар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бақылау/ әңгімелесу, тыңдау, жедел талдау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Бастауыш сынып мұғалімдері 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ӘБ жетекшісі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94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Әдістемелік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отырыс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4-сынып оқушыларының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математика пәніндегі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 нәтижелері </w:t>
            </w:r>
          </w:p>
          <w:p w:rsidR="000B6963" w:rsidRPr="007E6BBF" w:rsidRDefault="000B6963" w:rsidP="009D7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4-сынып оқушыларындағы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тиімді оқу даңғдыларының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4-сынып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оқушыыарының әкімшілік кесінді қорытындысы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жалпылаушы бақылау/ тестілеу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2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Директор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жанындағы отырыс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94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7б сынып оқушыларының   білім деңгейін бақылау</w:t>
            </w:r>
          </w:p>
          <w:p w:rsidR="000B6963" w:rsidRPr="007E6BBF" w:rsidRDefault="000B6963" w:rsidP="0094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6963" w:rsidRPr="007E6BBF" w:rsidRDefault="000B6963" w:rsidP="00940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жетістіктерінің монитрингіін жүргізу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Қараша-желтосқан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2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Педагогикалық кеңес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0B6963" w:rsidRDefault="000B6963" w:rsidP="0065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1 және 5 сыныптардың бейімделу кезеңінде жаңа тақыырыптарды меңгерудегі қиындықтарды анықтау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1-тоқсан қорытындысы және оқу әрекеттері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К.М.Камалиева</w:t>
            </w: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М.Д.Мусабекова</w:t>
            </w:r>
          </w:p>
          <w:p w:rsidR="000B6963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Пән мұғалімдері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Педталқылау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0B6963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Ағылшын тілінің оқытылуы жағдайын зерделеу (5-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сыныптар)</w:t>
            </w:r>
          </w:p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5-7 сыныптардағы ағылшын тіілі сабағы,ҚМЖ, диагностикалық тест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-ақпан</w:t>
            </w:r>
          </w:p>
        </w:tc>
        <w:tc>
          <w:tcPr>
            <w:tcW w:w="1701" w:type="dxa"/>
            <w:shd w:val="clear" w:color="auto" w:fill="auto"/>
          </w:tcPr>
          <w:p w:rsidR="000B6963" w:rsidRPr="009401C4" w:rsidRDefault="000B6963" w:rsidP="0094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1C4">
              <w:rPr>
                <w:rFonts w:ascii="Times New Roman" w:eastAsia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Default="000B6963" w:rsidP="0094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1C4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  <w:p w:rsidR="000B6963" w:rsidRPr="007E6BBF" w:rsidRDefault="000B6963" w:rsidP="0094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жетекшісі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C95BC6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-11 сыныптардағы дене шынықтыру пәнінің берілу жағдайы</w:t>
            </w:r>
          </w:p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мұғалімдерінің командалық жұмысты ұйымдастыру бойынша тәсілдерін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8-11 сабақ беретін дене шынықтыру пәні мұғалімдері,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бақылау/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Қаңтар 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К.М.Камалиева</w:t>
            </w:r>
          </w:p>
          <w:p w:rsidR="000B6963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М.Б.Мусабекова</w:t>
            </w:r>
          </w:p>
          <w:p w:rsidR="000B6963" w:rsidRDefault="000B6963" w:rsidP="0094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М.А.Мухтарова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отырысы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5-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сыныптарда математика пәнін жүргізудің сапалық деңгейі</w:t>
            </w:r>
          </w:p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5-9 сыныптардағы математика сабағы,,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бақылау/ҚМЖ ларды талдау, сабақтарды бақылау, тестілеу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Ақпан-наурыз</w:t>
            </w:r>
          </w:p>
        </w:tc>
        <w:tc>
          <w:tcPr>
            <w:tcW w:w="1701" w:type="dxa"/>
            <w:shd w:val="clear" w:color="auto" w:fill="auto"/>
          </w:tcPr>
          <w:p w:rsidR="000B6963" w:rsidRPr="009401C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1C4">
              <w:rPr>
                <w:rFonts w:ascii="Times New Roman" w:eastAsia="Times New Roman" w:hAnsi="Times New Roman" w:cs="Times New Roman"/>
                <w:sz w:val="16"/>
                <w:szCs w:val="16"/>
              </w:rPr>
              <w:t>М.Б.Асаинов</w:t>
            </w:r>
          </w:p>
          <w:p w:rsidR="000B6963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01C4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жетекшісі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10-11 сыныптарда бейіндік пәндер бойынша оқушыларды оқыту сапасы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дағдыларының деңгейі мен бейіндік бағдарын 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10-11 сыныптардағы бейіндік сабақтар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бақылау/ сұқбаттасу, тестілеу</w:t>
            </w:r>
          </w:p>
        </w:tc>
        <w:tc>
          <w:tcPr>
            <w:tcW w:w="1276" w:type="dxa"/>
            <w:shd w:val="clear" w:color="auto" w:fill="auto"/>
          </w:tcPr>
          <w:p w:rsidR="000B6963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отырысы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0B6963" w:rsidRDefault="000B6963" w:rsidP="0022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 тілі мен әдебиетінің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оқытылуы жағдайын зерделеу (5-11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сыныптар)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5-11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сыныптар,  қазақ тілі және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Наурыз-сәуір</w:t>
            </w:r>
          </w:p>
        </w:tc>
        <w:tc>
          <w:tcPr>
            <w:tcW w:w="1701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Оқушылардың таңдау пәндерінің оқытылу сапасы;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Таңдау пәндерінің жүргізілу, оқытылу сапасы мен оқушылардың тиімді оқу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Таңдау пәндері бойынша сабақтар, ҚМЖ, тест 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Фронатлды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Кешенді-жалпылаушы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Pr="007E6BBF" w:rsidRDefault="000B6963" w:rsidP="005E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М.Б.Мусабекова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отырысы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Үйде оқыту бойынша оқу бағдарламаларының орындалуы.</w:t>
            </w:r>
          </w:p>
          <w:p w:rsidR="000B6963" w:rsidRPr="007E6BBF" w:rsidRDefault="000B6963" w:rsidP="000744E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Персоналды бақылау/ құжаттамаларды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М.Б.Мусабекова</w:t>
            </w:r>
          </w:p>
          <w:p w:rsidR="000B6963" w:rsidRPr="007E6BBF" w:rsidRDefault="000B6963" w:rsidP="005E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Бірлестік жетекшілері, директор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Пед. кеңес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985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 xml:space="preserve"> 1-11-сынып оқушылары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:rsidR="000B6963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К.М.Камалиева</w:t>
            </w:r>
          </w:p>
          <w:p w:rsidR="000B6963" w:rsidRDefault="000B6963" w:rsidP="00204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М.Б.Мусабекова</w:t>
            </w:r>
          </w:p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М.А.Мухтарова</w:t>
            </w:r>
          </w:p>
        </w:tc>
        <w:tc>
          <w:tcPr>
            <w:tcW w:w="1154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hAnsi="Times New Roman" w:cs="Times New Roman"/>
                <w:sz w:val="16"/>
                <w:szCs w:val="16"/>
              </w:rPr>
              <w:t>ӘБ отырысы</w:t>
            </w:r>
          </w:p>
        </w:tc>
        <w:tc>
          <w:tcPr>
            <w:tcW w:w="1397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0B6963" w:rsidRPr="007E6BBF" w:rsidRDefault="000B6963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6144" w:rsidRPr="007E6BBF" w:rsidRDefault="00B26144" w:rsidP="000744EA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heading=h.30j0zll" w:colFirst="0" w:colLast="0"/>
      <w:bookmarkEnd w:id="0"/>
    </w:p>
    <w:p w:rsidR="00B26144" w:rsidRPr="00650AE0" w:rsidRDefault="00224E1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Style w:val="af7"/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98"/>
        <w:gridCol w:w="1788"/>
        <w:gridCol w:w="1451"/>
        <w:gridCol w:w="1100"/>
        <w:gridCol w:w="1843"/>
        <w:gridCol w:w="1276"/>
        <w:gridCol w:w="1701"/>
        <w:gridCol w:w="992"/>
        <w:gridCol w:w="1843"/>
        <w:gridCol w:w="1134"/>
      </w:tblGrid>
      <w:tr w:rsidR="000B6963" w:rsidRPr="007E6BBF" w:rsidTr="000B6963">
        <w:tc>
          <w:tcPr>
            <w:tcW w:w="1898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әдістері</w:t>
            </w:r>
          </w:p>
        </w:tc>
        <w:tc>
          <w:tcPr>
            <w:tcW w:w="1276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Жауаптылар</w:t>
            </w:r>
          </w:p>
        </w:tc>
        <w:tc>
          <w:tcPr>
            <w:tcW w:w="992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Білімдегі олқылықтардың  орнын толтыру мен үлгерімі нашар оқушылармен  жұмыс жоспарының жүзеге асырылуы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шанар оқушылардың оқу жетістіктері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бақылау, 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701" w:type="dxa"/>
            <w:vAlign w:val="center"/>
          </w:tcPr>
          <w:p w:rsidR="000B6963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жетекшілері</w:t>
            </w:r>
          </w:p>
        </w:tc>
        <w:tc>
          <w:tcPr>
            <w:tcW w:w="992" w:type="dxa"/>
            <w:vAlign w:val="center"/>
          </w:tcPr>
          <w:p w:rsidR="000B6963" w:rsidRPr="00650AE0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отырыс</w:t>
            </w:r>
          </w:p>
        </w:tc>
        <w:tc>
          <w:tcPr>
            <w:tcW w:w="1843" w:type="dxa"/>
          </w:tcPr>
          <w:p w:rsidR="000B6963" w:rsidRPr="00650AE0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Саралау арқылы оқушы біліміндегі ақауларды дер кезінде жою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Өздігіімен жұмыс түр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ері 2-11 сынып оқушылары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Бақылау , 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701" w:type="dxa"/>
            <w:vAlign w:val="center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</w:tc>
        <w:tc>
          <w:tcPr>
            <w:tcW w:w="992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қазақ тілі, орыс тілі, ағылшын тілі сабақтарында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сауаттылығын қалыптастыру жұмыстарының жағдайы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сауаттылығын арттыратын тапсырмалардың сапасын анықтау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Гуманитарлық бағыттағы сабақтар, ҚМЖ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Бақылау , талдау ҚМЖ зерделеу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-қазан</w:t>
            </w:r>
          </w:p>
        </w:tc>
        <w:tc>
          <w:tcPr>
            <w:tcW w:w="1701" w:type="dxa"/>
            <w:vAlign w:val="center"/>
          </w:tcPr>
          <w:p w:rsidR="000B6963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  <w:p w:rsidR="000B6963" w:rsidRPr="007E6BBF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жетекшілері, пән мұғалімдері</w:t>
            </w:r>
          </w:p>
        </w:tc>
        <w:tc>
          <w:tcPr>
            <w:tcW w:w="992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отырыс</w:t>
            </w: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Үлгеріімі нашар оқушылардың оқу нәтижеелерінің деңгейлері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Әртүрлі пәндерден оқу нәтижелерінің диагностикасы 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Үлгерімі нашар оқушылардың білім деңгейі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Байқау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701" w:type="dxa"/>
            <w:vAlign w:val="center"/>
          </w:tcPr>
          <w:p w:rsidR="000B6963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Pr="007E6BBF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бірлестік жетекшісі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Бірлестік отырысы</w:t>
            </w: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Өткізілген БЖБ,ТЖБ қорытындылары бойынша талдау жұмыстары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451" w:type="dxa"/>
          </w:tcPr>
          <w:p w:rsidR="000B6963" w:rsidRPr="007E6BBF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мұғалімдерінің талдаулары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Электронды журнал, 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қазан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B6963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пән мұғалімдері</w:t>
            </w:r>
          </w:p>
          <w:p w:rsidR="000B6963" w:rsidRPr="007E6BBF" w:rsidRDefault="000B6963" w:rsidP="0022204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</w:t>
            </w:r>
          </w:p>
        </w:tc>
        <w:tc>
          <w:tcPr>
            <w:tcW w:w="992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Ата-аналар жиналысы</w:t>
            </w:r>
          </w:p>
        </w:tc>
        <w:tc>
          <w:tcPr>
            <w:tcW w:w="1843" w:type="dxa"/>
            <w:vAlign w:val="center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нашар оқушылрмен жұмыс жоспары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Қараша, желтоқсан, наурыз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0B6963" w:rsidRPr="007E6BBF" w:rsidRDefault="000B6963" w:rsidP="0022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</w:p>
        </w:tc>
        <w:tc>
          <w:tcPr>
            <w:tcW w:w="992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ОІЖО қатысумен жиналыс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Резервист оқушыылардың оқу нәтижеелерін талдау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6" w:type="dxa"/>
          </w:tcPr>
          <w:p w:rsidR="000B6963" w:rsidRPr="007E6BBF" w:rsidRDefault="000B6963" w:rsidP="00B10C5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Қараша, желтоқсан, наурыз,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мамыр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0B6963" w:rsidRPr="007E6BBF" w:rsidRDefault="000B6963" w:rsidP="0022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</w:p>
        </w:tc>
        <w:tc>
          <w:tcPr>
            <w:tcW w:w="992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ОІЖО қатысумен жиналыс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Мұғалімдердің талд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ау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жұмыстары</w:t>
            </w:r>
          </w:p>
        </w:tc>
        <w:tc>
          <w:tcPr>
            <w:tcW w:w="1276" w:type="dxa"/>
          </w:tcPr>
          <w:p w:rsidR="000B6963" w:rsidRPr="007E6BBF" w:rsidRDefault="000B6963" w:rsidP="00B10C5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Қазан,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Желтоқсан,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наурыз, мамыр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0B6963" w:rsidRPr="007E6BBF" w:rsidRDefault="000B6963" w:rsidP="0022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ӘБ жетекшілері</w:t>
            </w:r>
          </w:p>
        </w:tc>
        <w:tc>
          <w:tcPr>
            <w:tcW w:w="992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Білім берудің төменгі сапасын көрсететін сыныптармен жұмыс нәтижесі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беру сапасының төмен болу себебін жоюдың жолдарын табу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сапасы, БЖБ,ТЖБ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Сауалнама, талдау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Желтоқсан, наурыз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Default="000B6963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0B6963" w:rsidRPr="007E6BBF" w:rsidRDefault="000B6963" w:rsidP="00222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ӘБ жетекшілері</w:t>
            </w:r>
          </w:p>
        </w:tc>
        <w:tc>
          <w:tcPr>
            <w:tcW w:w="992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Орынбасар жанындағы отырыс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7E6BBF" w:rsidTr="000B6963">
        <w:tc>
          <w:tcPr>
            <w:tcW w:w="189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нәтижелері мен оқу әрекеттерінің мониторигі(сыныптарды әр  мектеп өзі анықтайды)</w:t>
            </w:r>
          </w:p>
        </w:tc>
        <w:tc>
          <w:tcPr>
            <w:tcW w:w="1788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451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әрекеттері</w:t>
            </w:r>
          </w:p>
        </w:tc>
        <w:tc>
          <w:tcPr>
            <w:tcW w:w="1100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Оқушылардан жүйелі түрде сауалнама алып отыру, оқу тапсырмаларының орындалуын қаадағалау, кері байланыстардың сапасын тексеру</w:t>
            </w:r>
          </w:p>
        </w:tc>
        <w:tc>
          <w:tcPr>
            <w:tcW w:w="1276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Қаркүйек, желтоқсан, наурыз</w:t>
            </w:r>
          </w:p>
        </w:tc>
        <w:tc>
          <w:tcPr>
            <w:tcW w:w="1701" w:type="dxa"/>
          </w:tcPr>
          <w:p w:rsidR="000B6963" w:rsidRDefault="000B6963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0B6963" w:rsidRPr="007E6BBF" w:rsidRDefault="000B696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М.Д.Мусабекова</w:t>
            </w:r>
          </w:p>
        </w:tc>
        <w:tc>
          <w:tcPr>
            <w:tcW w:w="992" w:type="dxa"/>
          </w:tcPr>
          <w:p w:rsidR="000B6963" w:rsidRPr="007E6BBF" w:rsidRDefault="000B6963" w:rsidP="00FB53F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843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6963" w:rsidRPr="007E6BBF" w:rsidRDefault="000B696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C51" w:rsidRDefault="00B10C51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26144" w:rsidRPr="007E6BBF" w:rsidRDefault="00B26144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70BE9" w:rsidRPr="007E6BBF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F035A8" w:rsidRPr="007E6BBF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F035A8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D77E64" w:rsidRDefault="00D77E64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D77E64" w:rsidRDefault="00D77E64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D77E64" w:rsidRPr="007E6BBF" w:rsidRDefault="00D77E64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F035A8" w:rsidRPr="007E6BBF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F035A8" w:rsidRPr="007E6BBF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F01701" w:rsidRPr="007E6BBF" w:rsidRDefault="00F01701" w:rsidP="00B70BE9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IV. ОҚУ-ЗЕРТТЕУ ҚЫЗМЕТІ</w:t>
      </w: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60"/>
        <w:gridCol w:w="2268"/>
        <w:gridCol w:w="1276"/>
        <w:gridCol w:w="850"/>
        <w:gridCol w:w="2100"/>
        <w:gridCol w:w="1275"/>
        <w:gridCol w:w="1418"/>
        <w:gridCol w:w="1701"/>
        <w:gridCol w:w="1586"/>
        <w:gridCol w:w="1417"/>
      </w:tblGrid>
      <w:tr w:rsidR="00F01701" w:rsidRPr="007E6BBF" w:rsidTr="00675683">
        <w:trPr>
          <w:cantSplit/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Бақылау </w:t>
            </w:r>
          </w:p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нысаны</w:t>
            </w: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Бақылау түрі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әдісі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</w:t>
            </w:r>
          </w:p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Қарастыра</w:t>
            </w:r>
          </w:p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тын орны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701" w:rsidRPr="007E6BBF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қайтара бақылау</w:t>
            </w:r>
          </w:p>
        </w:tc>
      </w:tr>
      <w:tr w:rsidR="00D77E64" w:rsidRPr="007E6BBF" w:rsidTr="00525A89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 жетекшінің жұмыс жоспарын құру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 конкурстарға дайындық жоспарын іске асыру сапасының уақтылылығын айқындау</w:t>
            </w:r>
          </w:p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Ғылыми жетекшінің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525A89" w:rsidP="00525A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E64" w:rsidRPr="007E6BBF" w:rsidRDefault="00D77E64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277B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Директордың жанындағы кеңес, әдістемелік кеңестің отырысы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64" w:rsidRPr="007E6BBF" w:rsidRDefault="00D77E6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ОҒҚ жұмысының жүйелілігі мен тиімділігі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ОҒҚ қызметі (оқушылардың ғылыми қоғамдас</w:t>
            </w:r>
          </w:p>
          <w:p w:rsidR="00525A89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тығы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ҒББ отырыстарына,</w:t>
            </w:r>
          </w:p>
          <w:p w:rsidR="00525A89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Default="00525A89" w:rsidP="00525A8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Қыркүйек-қазан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9" w:rsidRPr="005E277B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45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13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Ғылыми-зерттеу жұмыстарына оқушының даярлығы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Өздік жұмыстарына оқушының даярлығын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Ғылыми жобалар мен басқа байқауларға қатысушы оқушының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Қыркүйек-қазан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9" w:rsidRPr="007E6BBF" w:rsidRDefault="00525A89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277B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ҒББ отырысы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9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Сабақтар мен факультативтердегі жобалау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Сабақтарға қатысу / факультатив, талдау, өзін-өзі 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Қазан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Default="00525A89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Ғылыми-әдістемелік кеңес отырысы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5A89" w:rsidRPr="007E6BBF" w:rsidTr="00675683">
        <w:trPr>
          <w:cantSplit/>
          <w:trHeight w:val="1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Жоба конкурстарына қатысу сапасы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Қазан-сәуір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Default="00525A89" w:rsidP="006756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525A89" w:rsidRDefault="00525A89" w:rsidP="006756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ӘБ жетекшілері </w:t>
            </w:r>
          </w:p>
          <w:p w:rsidR="00525A89" w:rsidRDefault="00525A89" w:rsidP="006756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</w:p>
          <w:p w:rsidR="00525A89" w:rsidRDefault="00525A89" w:rsidP="006756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ӘБ отырыс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Шығармашы</w:t>
            </w:r>
          </w:p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C9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Шығармашылық топтардың әдістемелік өнімдерінің</w:t>
            </w:r>
          </w:p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Желтоқсан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9" w:rsidRDefault="00525A89" w:rsidP="00C95BC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545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ҒӘЖ бойынша директор орынбасары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Дарынды және уәжді балалар туралы деректер базасын жаңарту мониторингі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Дарынды және дәлелді балалардың дерекқорындағы оқушылардың табыстылығын анықтау, жеке тиімділігін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Дарынды және уәжді балалар туралы деректер базасы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Фронталды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Оқушылардың прогресті дамуын бақылау картасын толтыруды талдау,</w:t>
            </w:r>
          </w:p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мониторинг жүргізу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Сәуір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Педагог-психологтер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жанындағы отырыс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5A89" w:rsidRPr="007E6BBF" w:rsidTr="00525A89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Ғылыми-әдістемелік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Тақырыптық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Талдау, жоспарға түзетулер енгізу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Маусым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545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ҒӘЖ бойынша директор орынбасары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9" w:rsidRPr="007E6BBF" w:rsidRDefault="00525A8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01701" w:rsidRPr="007E6BBF" w:rsidRDefault="00F01701" w:rsidP="00D7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E6BBF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V. МҰҒАЛІМНІҢ ШЕБЕРЛІК ЖӘНЕ ӘДІСТЕМЕЛІК ДАЙЫНДЫҚ ЖАҒДАЙЫНЫҢ ДЕҢГЕЙІН БАҚЫЛАУ</w:t>
      </w:r>
    </w:p>
    <w:p w:rsidR="00F01701" w:rsidRPr="007E6BBF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3241"/>
        <w:gridCol w:w="702"/>
        <w:gridCol w:w="26"/>
        <w:gridCol w:w="142"/>
        <w:gridCol w:w="709"/>
        <w:gridCol w:w="1701"/>
        <w:gridCol w:w="398"/>
        <w:gridCol w:w="284"/>
        <w:gridCol w:w="1728"/>
        <w:gridCol w:w="1532"/>
        <w:gridCol w:w="1019"/>
        <w:gridCol w:w="1816"/>
        <w:gridCol w:w="1444"/>
      </w:tblGrid>
      <w:tr w:rsidR="00F01701" w:rsidRPr="007E6BBF" w:rsidTr="00187AF1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F01701" w:rsidRPr="007E6BBF" w:rsidRDefault="00F01701" w:rsidP="000744EA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728" w:type="dxa"/>
            <w:gridSpan w:val="2"/>
            <w:shd w:val="clear" w:color="auto" w:fill="auto"/>
            <w:textDirection w:val="btLr"/>
            <w:vAlign w:val="center"/>
          </w:tcPr>
          <w:p w:rsidR="00F01701" w:rsidRPr="007E6BBF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  <w:p w:rsidR="00F01701" w:rsidRPr="007E6BBF" w:rsidRDefault="00F01701" w:rsidP="000744EA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әдістері</w:t>
            </w:r>
          </w:p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мерзімдері</w:t>
            </w:r>
          </w:p>
          <w:p w:rsidR="00F01701" w:rsidRPr="007E6BBF" w:rsidRDefault="00F01701" w:rsidP="000744EA">
            <w:pPr>
              <w:spacing w:after="2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Жауаптылар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шылық шешім</w:t>
            </w:r>
          </w:p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01701" w:rsidRPr="007E6BBF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F01701" w:rsidRPr="007E6BBF" w:rsidTr="00187AF1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F01701" w:rsidRPr="007E6BBF" w:rsidRDefault="00F01701" w:rsidP="000744E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:rsidR="00F01701" w:rsidRPr="007E6BBF" w:rsidRDefault="00F01701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Оқу-тәрбие жұмысы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зерделеу:ОМЖ және ҚМЖ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Қыркүйектің 1 аптасы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E64" w:rsidRDefault="00D77E64" w:rsidP="00D77E6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187AF1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482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831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зерделеу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ҚМЖ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зерделеу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ҚМЖ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503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 мақсаттарының сабақ мазмұнына сәйкестігін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зерделеу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ҚМЖ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187AF1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зерделеу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ҚМЖ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Бір жыл ішінде сабаққа қатысқан кезде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75683" w:rsidRPr="007E6BBF" w:rsidTr="00187AF1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Білімді тексеру: қорытынды бақылау жұмыстары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Талдау: ТБЖ нәтижелері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Тоқсанла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07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4517D" w:rsidRPr="007E6BBF" w:rsidTr="00675683">
        <w:trPr>
          <w:trHeight w:val="486"/>
        </w:trPr>
        <w:tc>
          <w:tcPr>
            <w:tcW w:w="709" w:type="dxa"/>
            <w:vMerge/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A4517D" w:rsidRPr="007E6BBF" w:rsidRDefault="00A4517D" w:rsidP="000744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Ұжымдық педагогикалық жобаларға қатысу жиілігін анықтау</w:t>
            </w:r>
          </w:p>
          <w:p w:rsidR="00A4517D" w:rsidRPr="007E6BBF" w:rsidRDefault="00A4517D" w:rsidP="000744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517D" w:rsidRPr="007E6BBF" w:rsidRDefault="00A4517D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 сауалнама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Жыл бойы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F01701" w:rsidRPr="007E6BBF" w:rsidTr="009A6A14">
        <w:trPr>
          <w:trHeight w:val="148"/>
        </w:trPr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701" w:rsidRPr="007E6BBF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187AF1">
        <w:trPr>
          <w:trHeight w:val="6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17D" w:rsidRPr="007E6BBF" w:rsidRDefault="00A4517D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сапасын арттыру және оқушыларды ынталандыру бойынша мұғалімнің жұмыс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сапасына баға беру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Мұғалімнің шеберлігі мен әдістемелік дайындығының жай-күйі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Білімді тексеру: әкімшілік бақылау жұмыстары,</w:t>
            </w:r>
          </w:p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187AF1">
        <w:trPr>
          <w:trHeight w:val="7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A4517D" w:rsidRPr="007E6BBF" w:rsidRDefault="00A4517D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н анықтау.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 сауалнама,</w:t>
            </w:r>
          </w:p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A45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психолог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187AF1">
        <w:trPr>
          <w:trHeight w:val="5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оқушының жеке басын, оның даму мүмкіндіктерін, өз қызметін жобалау қабілеті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н анықтау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тексеру,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37D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187AF1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 сауалнама,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37D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187AF1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ктерін бағалау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 сауалнама,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37D0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4517D" w:rsidRPr="007E6BBF" w:rsidTr="00187AF1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17D" w:rsidRPr="007E6BBF" w:rsidRDefault="00A4517D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не баға беру.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Бақылау, сауалнама,</w:t>
            </w:r>
          </w:p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9A6A14">
        <w:trPr>
          <w:trHeight w:val="100"/>
        </w:trPr>
        <w:tc>
          <w:tcPr>
            <w:tcW w:w="15451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675683">
        <w:trPr>
          <w:trHeight w:val="48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17D" w:rsidRPr="007E6BBF" w:rsidRDefault="00A4517D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Жас педагогтардың кәсіби қиындықтарын анықтау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Жас мамандармен жұмыс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Бақылау: сабаққа қатысу</w:t>
            </w:r>
          </w:p>
          <w:p w:rsidR="00A4517D" w:rsidRPr="007E6BBF" w:rsidRDefault="00A4517D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Сұхбат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Жыл бойы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187AF1" w:rsidP="0018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51DE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Бақылау: сабаққа қатысу</w:t>
            </w:r>
          </w:p>
          <w:p w:rsidR="00187AF1" w:rsidRPr="007E6BBF" w:rsidRDefault="00187AF1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Сұхбат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 сайын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27D7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8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тексеру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Жыл бойы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27D7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6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AF1" w:rsidRPr="007E6BBF" w:rsidRDefault="00187AF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Жас педагогтың кәсіби қызмет бағыттарының әртүрлілігін талдау.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тексеру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27D7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5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187AF1" w:rsidRPr="007E6BBF" w:rsidRDefault="00187AF1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Жас педагог тәжірибесінде тәлімгерлік жүйесінің элементтерін іске асыру барысын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бағалау.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тексеру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 бойы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27D7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9A6A14">
        <w:trPr>
          <w:trHeight w:val="72"/>
        </w:trPr>
        <w:tc>
          <w:tcPr>
            <w:tcW w:w="15451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65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Шығармашылық /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:rsidR="00187AF1" w:rsidRPr="007E6BBF" w:rsidRDefault="00187AF1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Сауалнама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1C5F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62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187AF1" w:rsidRPr="007E6BBF" w:rsidRDefault="00187AF1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Сауалнама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Тоқсанда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1C5F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7AF1" w:rsidRPr="007E6BBF" w:rsidTr="00675683">
        <w:trPr>
          <w:trHeight w:val="85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187AF1" w:rsidRPr="007E6BBF" w:rsidRDefault="00187AF1" w:rsidP="000744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Педагогтердің инновациялық тәжірибесін енгізу және тарату бойынша шығармашылық / зерттеу топтар</w:t>
            </w:r>
            <w:r w:rsidR="00675683">
              <w:rPr>
                <w:rFonts w:ascii="Times New Roman" w:eastAsia="Times New Roman" w:hAnsi="Times New Roman" w:cs="Times New Roman"/>
                <w:sz w:val="16"/>
                <w:szCs w:val="16"/>
              </w:rPr>
              <w:t>ының жұмыс тиімділігін бағалау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Құжаттаманы зерттеу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Сауалнама</w:t>
            </w:r>
          </w:p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1C5F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AF1" w:rsidRPr="007E6BBF" w:rsidRDefault="00187AF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4517D" w:rsidRPr="007E6BBF" w:rsidTr="009A6A14">
        <w:trPr>
          <w:trHeight w:val="70"/>
        </w:trPr>
        <w:tc>
          <w:tcPr>
            <w:tcW w:w="15451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17D" w:rsidRPr="007E6BBF" w:rsidRDefault="00A4517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64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4113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7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4113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Өзінің кәсіби дамуының перспективаларын білумен жеке стилінің ерекшеліктерін анықтай алу қабілеттерін 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бағалау.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96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Мұғалімнің өзін-өзі дамытуға дайынды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96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48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96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3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96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5683" w:rsidRPr="007E6BBF" w:rsidTr="00675683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Коммуникативтік құзыреттілік</w:t>
            </w: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деңгейін </w:t>
            </w: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Бақылау: сабаққа қатысу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Сұхбат</w:t>
            </w:r>
          </w:p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Талдау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Жартыжылдықта 1 рет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3962">
              <w:rPr>
                <w:rFonts w:ascii="Times New Roman" w:eastAsia="Times New Roman" w:hAnsi="Times New Roman" w:cs="Times New Roman"/>
                <w:sz w:val="16"/>
                <w:szCs w:val="16"/>
              </w:rPr>
              <w:t>К.М.Камалиева, М.Д.Мусабекова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683" w:rsidRPr="007E6BBF" w:rsidRDefault="00675683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01701" w:rsidRPr="007E6BBF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Pr="007E6BBF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675683" w:rsidRPr="00C15E14" w:rsidRDefault="00675683" w:rsidP="0067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15E14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VІ. ТӘРБИЕ ПРОЦЕСІНІҢ, ӨТКІЗІЛГЕН ІС –ШАРАЛАРДЫҢ САПАСЫН БАҚЫЛАУ</w:t>
      </w:r>
    </w:p>
    <w:p w:rsidR="00675683" w:rsidRPr="00C15E14" w:rsidRDefault="00675683" w:rsidP="0067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708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2133"/>
        <w:gridCol w:w="1276"/>
        <w:gridCol w:w="1559"/>
        <w:gridCol w:w="1559"/>
        <w:gridCol w:w="1134"/>
        <w:gridCol w:w="2185"/>
        <w:gridCol w:w="1134"/>
        <w:gridCol w:w="1275"/>
        <w:gridCol w:w="1218"/>
      </w:tblGrid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әдістері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</w:t>
            </w:r>
          </w:p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дері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</w:t>
            </w:r>
          </w:p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тылар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Басқарушылық шешім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жұмысында  нормативтік құжаттардың басшылыққа алынуы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Құжаттардың бірыңғай талаптарға сәйкестігін назарда ұстау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жұмысының жоспары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Тамыз, қаңтар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Басшы</w:t>
            </w:r>
          </w:p>
        </w:tc>
        <w:tc>
          <w:tcPr>
            <w:tcW w:w="1134" w:type="dxa"/>
            <w:shd w:val="clear" w:color="auto" w:fill="auto"/>
          </w:tcPr>
          <w:p w:rsidR="000B6963" w:rsidRPr="007E6BBF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6B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 жанындағы отырыс 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 жұмысын ұйымдастыру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жұмысының басымдықтарын және сапасын анықтау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жетекшілерінің жұмысы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Жоспардың орындалуын бақылау, талдау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Тамыз, қаңтар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Құжаттардың бірыңғай талаптарға сәйкестігін назарда ұстау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жетекшісінің жұмыс жоспары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Тамыз, қаңтар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Мектептің отбасымен өзара әрекеттесуі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Отбасы мен мектеп арасындағы байланысты қадағалау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Ата-аналармен жұмыс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сауалнамалар,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Ай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Штаб отырысы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Ата-аналармен жұмыс жасауды ұйымдастыру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Мектеп-оқушы-ата-ана триадасының жұмыс сапасын бағалау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Ата-аналармен жұмыс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сағаттарының жоспарлары,, жиналыстархаттамалары, ресуртар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ӘКО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 сағаттарының  тиімділігі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1-2-сыныптар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3-4-сыныптар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5-7-сыныптар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8-9-сыныптар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10-11-сыныптар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сағаттарын бақылау, талдау,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Наурыз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Мамыр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Шамшарив Б.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ӘКО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алушылардың  бос  уақытын ұйымдастыру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1-11-сыныптар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зерделеу, сұқбаттасу, сауалнамалар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Жарты жыл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 секциялары мен үйірме  жұмыстарының жүргізілу деңгейі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1-11-сыныптар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Сауалнама, сұқбаттар алу, диагностика жасау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 қауымдастығы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сауалнама, жоспарларды зерделеу,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Шамшарив Б.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«Жас ұлан», «Жас қыран», өзін-өзі  басқару  ұйымдары  жұмысы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Өзін-өзі басқару ұйымы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зерделеу, ашық сұрақтар бойынша сұқбат жүргізу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Аға тәлімгер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Амангелдинова К.С.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ӨӨБҰО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Сабақтан  тыс тәрбиелік  жобаларды  ұйымдастыру </w:t>
            </w: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және оны іске асыру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«Оқуға құштар мектеп», дебаттық қозғалыс, 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«Балалар және театр» акциясын өткізу сапасын анықтау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Тәлімгердің жұмыстары, 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тәрбие орынбасары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жобалардың жоспарларын 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зерделеу, іс-шараларды талдау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ҒӘК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«Мектепке жол» қайырымдылық акциясы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Әлеуметтік қорғаусыз қалған отбасы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балаларына</w:t>
            </w: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материалдық көмек көрсетудің сапасын анықтау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Әлеуметтік педагог 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 зерделеу, сауалнама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Жыл бойы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БТЖО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Шамшарив Б.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педагог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Мұхамеджарова Г.Р.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қорғалмаған отбасылар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зерделеу, жабық сұрақтар арқылы сұқбат жүргізу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БТЖО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Шамшарив Б.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педагог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Мұхамеджарова Г.Р.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Тегін тамақтануды ұйымдастыру сапасы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Әлеуметтік әлсіз отбасылар, оқу ісі жөніндегі орынбасар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асханада бақылау жүргізу, ашық сұрақтармен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Күнделікті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БТЖО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Шамшарив Б.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Оқушыларға тегін ыстық тамақ беруді ұйымдастыру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1-4-сыныптар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бақылау, құжаттамаларды зерделеу, әңгімелесу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Күнделікті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БТЖО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Шамшарив Б.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Буллинг/кибербуллинг жағдайларын уақтылы анықтау;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зорлық-зомбылықты, өзін-өзі бұзатын мінез-құлықты болдырмау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Психологтар 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зерделеу, сауалнамалар алу,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Тоқсан сайын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Касимова Ж.А.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ҒӘК/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ПК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Мұғалімдердің, дефектологтың, логопедтің, психологтың жұмысы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ҚМЖ жоспарларын талдау, сабақтар мен сынып сағаттарын бақылау, сұқбаттасу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Жыл бойы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Шамшарив Б.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Құжаттамаларды зерделеу, сауалманалар алу, бақылау 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Кезекті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Психолог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Касимова Ж.А.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Штаб отырыс/ Штаб кеңесі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Кәсіптік бағдар бойынша жұмыс тиімділігін диагностикалау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Бірлескен жұмыс жоспары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Жоспарларды талдау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Қыркүйек/ қазан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Шамшарив Б.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FB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Кәмелетке толмағандар арасындағы құқық бұзушылықтың алдын алу жөніндегі жұмыстың жай-</w:t>
            </w: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күйі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Қалалық, аудандық ІІБ, Наркопост ұйымдарымен бірлескен жұмыстың болуын және іске 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асырылуын бақылау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Бірлескен жұмыс жоспары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Жоспарларды талдау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тамыз желтоқсан сәуір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ҒӘК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1-11 сынып оқушыларының демалысы, жазғы демалысы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Құжаттарды, жиналыс хаттамаларын зерделеу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Тамыз, желтоқсан,  сәуір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Басшы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БЖК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Ұлдар мен қыздар кеңестерінің жұмысы туралы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Ұлдар мен қыздар кеңестерінің жұмысы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Кұжаттамаларды зерделеу, жиналыстар хаттамалары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Кезекті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hAnsi="Times New Roman" w:cs="Times New Roman"/>
                <w:sz w:val="16"/>
                <w:szCs w:val="16"/>
              </w:rPr>
              <w:t>Шамшарив Б.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-11-сынып оқушылары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құжаттаманы зерделеу, сауалнама жүргізу, бақылау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Ай сайын 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Медбике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Тулекова М.М.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Кеңес</w:t>
            </w: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6963" w:rsidRPr="00C15E14" w:rsidTr="000B6963">
        <w:trPr>
          <w:jc w:val="center"/>
        </w:trPr>
        <w:tc>
          <w:tcPr>
            <w:tcW w:w="223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Әскери-патриоттық тәрбиені ұйымдастыру деңгейі </w:t>
            </w:r>
          </w:p>
        </w:tc>
        <w:tc>
          <w:tcPr>
            <w:tcW w:w="2133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276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 жоспары, іс-шаралар жоспары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Тақырып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құжаттамаларды зерделеу, сауалнама алу</w:t>
            </w: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218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БТЖО 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Мухтарова М.А.</w:t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>Кеңес</w:t>
            </w:r>
            <w:r w:rsidRPr="00C15E14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18" w:type="dxa"/>
            <w:shd w:val="clear" w:color="auto" w:fill="auto"/>
          </w:tcPr>
          <w:p w:rsidR="000B6963" w:rsidRPr="00C15E14" w:rsidRDefault="000B6963" w:rsidP="00C95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75683" w:rsidRPr="00C15E14" w:rsidRDefault="00675683" w:rsidP="00675683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75683" w:rsidRPr="00C15E14" w:rsidRDefault="00675683" w:rsidP="0067568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:rsidR="00675683" w:rsidRPr="007E6BBF" w:rsidRDefault="00675683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bookmarkStart w:id="1" w:name="_GoBack"/>
      <w:bookmarkEnd w:id="1"/>
    </w:p>
    <w:sectPr w:rsidR="00675683" w:rsidRPr="007E6BBF" w:rsidSect="007E6BBF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26144"/>
    <w:rsid w:val="00005691"/>
    <w:rsid w:val="00013C3A"/>
    <w:rsid w:val="00013CF1"/>
    <w:rsid w:val="00015530"/>
    <w:rsid w:val="000213BB"/>
    <w:rsid w:val="00033522"/>
    <w:rsid w:val="00044515"/>
    <w:rsid w:val="000458CD"/>
    <w:rsid w:val="00047CD7"/>
    <w:rsid w:val="00072856"/>
    <w:rsid w:val="000744EA"/>
    <w:rsid w:val="000A785E"/>
    <w:rsid w:val="000B1C2E"/>
    <w:rsid w:val="000B6963"/>
    <w:rsid w:val="000C05D7"/>
    <w:rsid w:val="000D0866"/>
    <w:rsid w:val="000D3D92"/>
    <w:rsid w:val="00107219"/>
    <w:rsid w:val="00116CF8"/>
    <w:rsid w:val="0013253F"/>
    <w:rsid w:val="00133959"/>
    <w:rsid w:val="00133F74"/>
    <w:rsid w:val="00153B52"/>
    <w:rsid w:val="00154A50"/>
    <w:rsid w:val="00165E53"/>
    <w:rsid w:val="00187AF1"/>
    <w:rsid w:val="001A582E"/>
    <w:rsid w:val="001D622A"/>
    <w:rsid w:val="00203566"/>
    <w:rsid w:val="0020444D"/>
    <w:rsid w:val="0020466C"/>
    <w:rsid w:val="00210684"/>
    <w:rsid w:val="00216760"/>
    <w:rsid w:val="00220E8A"/>
    <w:rsid w:val="0022204E"/>
    <w:rsid w:val="00224E15"/>
    <w:rsid w:val="00224E52"/>
    <w:rsid w:val="002300FA"/>
    <w:rsid w:val="00266020"/>
    <w:rsid w:val="002768AB"/>
    <w:rsid w:val="0027705A"/>
    <w:rsid w:val="002926BF"/>
    <w:rsid w:val="002937F7"/>
    <w:rsid w:val="002961D5"/>
    <w:rsid w:val="0029694E"/>
    <w:rsid w:val="00297837"/>
    <w:rsid w:val="002B06A9"/>
    <w:rsid w:val="002B265E"/>
    <w:rsid w:val="002C1E9D"/>
    <w:rsid w:val="002D7218"/>
    <w:rsid w:val="003149C0"/>
    <w:rsid w:val="0033583D"/>
    <w:rsid w:val="00341B9F"/>
    <w:rsid w:val="00347603"/>
    <w:rsid w:val="00365E37"/>
    <w:rsid w:val="003A02F1"/>
    <w:rsid w:val="003A3DAB"/>
    <w:rsid w:val="003B07E5"/>
    <w:rsid w:val="003E0E4B"/>
    <w:rsid w:val="003F340D"/>
    <w:rsid w:val="0040506A"/>
    <w:rsid w:val="00413901"/>
    <w:rsid w:val="00424DDA"/>
    <w:rsid w:val="004318EC"/>
    <w:rsid w:val="00451133"/>
    <w:rsid w:val="0045449E"/>
    <w:rsid w:val="0045630D"/>
    <w:rsid w:val="004652B4"/>
    <w:rsid w:val="00477EA0"/>
    <w:rsid w:val="00482900"/>
    <w:rsid w:val="004A0087"/>
    <w:rsid w:val="004A35B1"/>
    <w:rsid w:val="004C7854"/>
    <w:rsid w:val="004D35C1"/>
    <w:rsid w:val="004E2EB6"/>
    <w:rsid w:val="004E47EE"/>
    <w:rsid w:val="00520953"/>
    <w:rsid w:val="00525A89"/>
    <w:rsid w:val="005516F7"/>
    <w:rsid w:val="00557176"/>
    <w:rsid w:val="00570BA0"/>
    <w:rsid w:val="005757A1"/>
    <w:rsid w:val="005A5FC7"/>
    <w:rsid w:val="005E7CDB"/>
    <w:rsid w:val="005F2D6F"/>
    <w:rsid w:val="005F6674"/>
    <w:rsid w:val="00611781"/>
    <w:rsid w:val="00621392"/>
    <w:rsid w:val="00625F68"/>
    <w:rsid w:val="00631EC5"/>
    <w:rsid w:val="00650AE0"/>
    <w:rsid w:val="00657315"/>
    <w:rsid w:val="006626CD"/>
    <w:rsid w:val="0066744E"/>
    <w:rsid w:val="00673A41"/>
    <w:rsid w:val="00673EF8"/>
    <w:rsid w:val="00675683"/>
    <w:rsid w:val="00677721"/>
    <w:rsid w:val="006B3CDB"/>
    <w:rsid w:val="006C261B"/>
    <w:rsid w:val="006C3EB8"/>
    <w:rsid w:val="006C4442"/>
    <w:rsid w:val="00711318"/>
    <w:rsid w:val="0071749A"/>
    <w:rsid w:val="00721F0D"/>
    <w:rsid w:val="00725377"/>
    <w:rsid w:val="00770FEC"/>
    <w:rsid w:val="00775698"/>
    <w:rsid w:val="007967B7"/>
    <w:rsid w:val="007A42ED"/>
    <w:rsid w:val="007A4F56"/>
    <w:rsid w:val="007B78E4"/>
    <w:rsid w:val="007D2740"/>
    <w:rsid w:val="007E6BBF"/>
    <w:rsid w:val="007F74AE"/>
    <w:rsid w:val="00803862"/>
    <w:rsid w:val="008121A1"/>
    <w:rsid w:val="0082168A"/>
    <w:rsid w:val="00835CF8"/>
    <w:rsid w:val="008B328A"/>
    <w:rsid w:val="008C0D78"/>
    <w:rsid w:val="008D3E10"/>
    <w:rsid w:val="008F046A"/>
    <w:rsid w:val="008F4B89"/>
    <w:rsid w:val="008F77F5"/>
    <w:rsid w:val="00905DE1"/>
    <w:rsid w:val="00930FF4"/>
    <w:rsid w:val="009401C4"/>
    <w:rsid w:val="0094217D"/>
    <w:rsid w:val="009618F8"/>
    <w:rsid w:val="00970B43"/>
    <w:rsid w:val="009830C4"/>
    <w:rsid w:val="009927CE"/>
    <w:rsid w:val="00992F86"/>
    <w:rsid w:val="009A6A14"/>
    <w:rsid w:val="009B12CD"/>
    <w:rsid w:val="009B7364"/>
    <w:rsid w:val="009C3169"/>
    <w:rsid w:val="009D7092"/>
    <w:rsid w:val="00A03963"/>
    <w:rsid w:val="00A111D7"/>
    <w:rsid w:val="00A11B70"/>
    <w:rsid w:val="00A23517"/>
    <w:rsid w:val="00A3648F"/>
    <w:rsid w:val="00A4517D"/>
    <w:rsid w:val="00A70FBE"/>
    <w:rsid w:val="00A74A45"/>
    <w:rsid w:val="00A81C8D"/>
    <w:rsid w:val="00A919C7"/>
    <w:rsid w:val="00AA3801"/>
    <w:rsid w:val="00AA523F"/>
    <w:rsid w:val="00B05EE5"/>
    <w:rsid w:val="00B10C51"/>
    <w:rsid w:val="00B136A0"/>
    <w:rsid w:val="00B26144"/>
    <w:rsid w:val="00B665C8"/>
    <w:rsid w:val="00B70BE9"/>
    <w:rsid w:val="00B74D39"/>
    <w:rsid w:val="00B81636"/>
    <w:rsid w:val="00BB07E0"/>
    <w:rsid w:val="00BC741A"/>
    <w:rsid w:val="00BC7F85"/>
    <w:rsid w:val="00BF2BBF"/>
    <w:rsid w:val="00C22F86"/>
    <w:rsid w:val="00C403F5"/>
    <w:rsid w:val="00C4674C"/>
    <w:rsid w:val="00C52C14"/>
    <w:rsid w:val="00C600C9"/>
    <w:rsid w:val="00C85B3D"/>
    <w:rsid w:val="00C95BC6"/>
    <w:rsid w:val="00CF3ADE"/>
    <w:rsid w:val="00D068FF"/>
    <w:rsid w:val="00D07089"/>
    <w:rsid w:val="00D115BA"/>
    <w:rsid w:val="00D115D5"/>
    <w:rsid w:val="00D1332F"/>
    <w:rsid w:val="00D13F4F"/>
    <w:rsid w:val="00D454AA"/>
    <w:rsid w:val="00D54C8A"/>
    <w:rsid w:val="00D65564"/>
    <w:rsid w:val="00D77E64"/>
    <w:rsid w:val="00DC1419"/>
    <w:rsid w:val="00DF1FC7"/>
    <w:rsid w:val="00DF48BC"/>
    <w:rsid w:val="00DF6248"/>
    <w:rsid w:val="00E21A32"/>
    <w:rsid w:val="00E279A5"/>
    <w:rsid w:val="00E433AF"/>
    <w:rsid w:val="00E43BFF"/>
    <w:rsid w:val="00E51089"/>
    <w:rsid w:val="00E516CA"/>
    <w:rsid w:val="00E60090"/>
    <w:rsid w:val="00E876A8"/>
    <w:rsid w:val="00EB0946"/>
    <w:rsid w:val="00EC0E26"/>
    <w:rsid w:val="00EC5A17"/>
    <w:rsid w:val="00ED151A"/>
    <w:rsid w:val="00ED1A47"/>
    <w:rsid w:val="00ED2FD4"/>
    <w:rsid w:val="00ED46BD"/>
    <w:rsid w:val="00F01701"/>
    <w:rsid w:val="00F035A8"/>
    <w:rsid w:val="00F06286"/>
    <w:rsid w:val="00F31DE8"/>
    <w:rsid w:val="00F5603B"/>
    <w:rsid w:val="00F67761"/>
    <w:rsid w:val="00FA109D"/>
    <w:rsid w:val="00FA509F"/>
    <w:rsid w:val="00FE3276"/>
    <w:rsid w:val="00FE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rsid w:val="00835C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35C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35C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35C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35C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35C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5C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35CF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rsid w:val="00835C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835CF8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835C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835C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18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187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18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18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X7wq7SR1UnaLtHTF9T10EDoA==">CgMxLjAyCGguZ2pkZ3hzMgloLjMwajB6bGw4AHIhMXdrUzFtTW9ZMW11dXYzek51cmpLN1dxTDRJLUhsMlo4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EE94EF-869F-4B01-8949-4C6B1E31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13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uvr</dc:creator>
  <cp:lastModifiedBy>Пользователь Windows</cp:lastModifiedBy>
  <cp:revision>51</cp:revision>
  <cp:lastPrinted>2023-09-18T06:31:00Z</cp:lastPrinted>
  <dcterms:created xsi:type="dcterms:W3CDTF">2023-08-08T03:39:00Z</dcterms:created>
  <dcterms:modified xsi:type="dcterms:W3CDTF">2023-10-09T01:07:00Z</dcterms:modified>
</cp:coreProperties>
</file>