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303F29A0" w:rsidR="009B650A" w:rsidRPr="00A25445" w:rsidRDefault="00561FBF"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w:t>
      </w:r>
      <w:r w:rsidR="002E0C1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r w:rsidR="006D6D33">
        <w:rPr>
          <w:rFonts w:ascii="Times New Roman" w:eastAsia="Calibri" w:hAnsi="Times New Roman" w:cs="Times New Roman"/>
          <w:sz w:val="24"/>
          <w:szCs w:val="24"/>
          <w:lang w:val="kk-KZ"/>
        </w:rPr>
        <w:t>ж</w:t>
      </w:r>
    </w:p>
    <w:p w14:paraId="69FCBCD9" w14:textId="1B9D708C" w:rsidR="009B650A" w:rsidRPr="009B650A" w:rsidRDefault="009B650A" w:rsidP="006D6D33">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6D6D33">
        <w:rPr>
          <w:rFonts w:ascii="Times New Roman" w:eastAsia="Calibri" w:hAnsi="Times New Roman" w:cs="Times New Roman"/>
          <w:sz w:val="24"/>
          <w:szCs w:val="24"/>
          <w:lang w:val="kk-KZ"/>
        </w:rPr>
        <w:t>52</w:t>
      </w:r>
      <w:r w:rsidRPr="009B650A">
        <w:rPr>
          <w:rFonts w:ascii="Times New Roman" w:eastAsia="Calibri" w:hAnsi="Times New Roman" w:cs="Times New Roman"/>
          <w:sz w:val="24"/>
          <w:szCs w:val="24"/>
          <w:lang w:val="kk-KZ"/>
        </w:rPr>
        <w:t xml:space="preserve"> </w:t>
      </w:r>
      <w:r w:rsidR="006D6D33">
        <w:rPr>
          <w:rFonts w:ascii="Times New Roman" w:eastAsia="Calibri" w:hAnsi="Times New Roman" w:cs="Times New Roman"/>
          <w:sz w:val="24"/>
          <w:szCs w:val="24"/>
          <w:lang w:val="kk-KZ"/>
        </w:rPr>
        <w:t>арнайы балабақшасы</w:t>
      </w:r>
      <w:r w:rsidRPr="009B650A">
        <w:rPr>
          <w:rFonts w:ascii="Times New Roman" w:eastAsia="Calibri" w:hAnsi="Times New Roman" w:cs="Times New Roman"/>
          <w:sz w:val="24"/>
          <w:szCs w:val="24"/>
          <w:lang w:val="kk-KZ"/>
        </w:rPr>
        <w:t>»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1814"/>
        <w:gridCol w:w="1559"/>
        <w:gridCol w:w="1559"/>
        <w:gridCol w:w="2099"/>
        <w:gridCol w:w="2749"/>
      </w:tblGrid>
      <w:tr w:rsidR="009B650A" w:rsidRPr="009B650A" w14:paraId="4209BE02" w14:textId="77777777" w:rsidTr="00561FBF">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814"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59"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59"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2099"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D6D33" w14:paraId="05A2CF51" w14:textId="77777777" w:rsidTr="00561FBF">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814" w:type="dxa"/>
            <w:tcBorders>
              <w:top w:val="single" w:sz="4" w:space="0" w:color="000000"/>
              <w:left w:val="single" w:sz="4" w:space="0" w:color="000000"/>
              <w:bottom w:val="single" w:sz="4" w:space="0" w:color="000000"/>
              <w:right w:val="single" w:sz="4" w:space="0" w:color="000000"/>
            </w:tcBorders>
            <w:hideMark/>
          </w:tcPr>
          <w:p w14:paraId="310BF63E" w14:textId="1C808C34" w:rsidR="009B650A" w:rsidRPr="006F469A" w:rsidRDefault="00561FBF"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14:paraId="32F2806A" w14:textId="2CD97E0B"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561FBF">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559" w:type="dxa"/>
            <w:tcBorders>
              <w:top w:val="single" w:sz="4" w:space="0" w:color="000000"/>
              <w:left w:val="single" w:sz="4" w:space="0" w:color="000000"/>
              <w:bottom w:val="single" w:sz="4" w:space="0" w:color="000000"/>
              <w:right w:val="single" w:sz="4" w:space="0" w:color="000000"/>
            </w:tcBorders>
            <w:hideMark/>
          </w:tcPr>
          <w:p w14:paraId="1C353ED2" w14:textId="67EECF03" w:rsidR="009B650A" w:rsidRPr="009B650A" w:rsidRDefault="00561FBF"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 тілі</w:t>
            </w:r>
          </w:p>
        </w:tc>
        <w:tc>
          <w:tcPr>
            <w:tcW w:w="2099" w:type="dxa"/>
            <w:tcBorders>
              <w:top w:val="single" w:sz="4" w:space="0" w:color="000000"/>
              <w:left w:val="single" w:sz="4" w:space="0" w:color="000000"/>
              <w:bottom w:val="single" w:sz="4" w:space="0" w:color="000000"/>
              <w:right w:val="single" w:sz="4" w:space="0" w:color="000000"/>
            </w:tcBorders>
            <w:hideMark/>
          </w:tcPr>
          <w:p w14:paraId="7863D9D7" w14:textId="43B315FA" w:rsidR="006D6D33" w:rsidRDefault="009B650A" w:rsidP="006D6D33">
            <w:pPr>
              <w:spacing w:after="0" w:line="276" w:lineRule="auto"/>
              <w:jc w:val="center"/>
              <w:rPr>
                <w:rFonts w:ascii="Times New Roman" w:eastAsia="Calibri" w:hAnsi="Times New Roman" w:cs="Times New Roman"/>
                <w:sz w:val="24"/>
                <w:szCs w:val="24"/>
                <w:shd w:val="clear" w:color="auto" w:fill="FFFFFF"/>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561FBF">
              <w:rPr>
                <w:rFonts w:ascii="Times New Roman" w:eastAsia="Calibri" w:hAnsi="Times New Roman" w:cs="Times New Roman"/>
                <w:sz w:val="24"/>
                <w:szCs w:val="24"/>
                <w:shd w:val="clear" w:color="auto" w:fill="FFFFFF"/>
                <w:lang w:val="kk-KZ" w:eastAsia="ru-RU"/>
              </w:rPr>
              <w:t>Г</w:t>
            </w:r>
            <w:bookmarkStart w:id="0" w:name="_GoBack"/>
            <w:bookmarkEnd w:id="0"/>
            <w:r w:rsidR="00561FBF">
              <w:rPr>
                <w:rFonts w:ascii="Times New Roman" w:eastAsia="Calibri" w:hAnsi="Times New Roman" w:cs="Times New Roman"/>
                <w:sz w:val="24"/>
                <w:szCs w:val="24"/>
                <w:shd w:val="clear" w:color="auto" w:fill="FFFFFF"/>
                <w:lang w:val="kk-KZ" w:eastAsia="ru-RU"/>
              </w:rPr>
              <w:t xml:space="preserve">енерал </w:t>
            </w:r>
            <w:r w:rsidR="006D6D33">
              <w:rPr>
                <w:rFonts w:ascii="Times New Roman" w:eastAsia="Calibri" w:hAnsi="Times New Roman" w:cs="Times New Roman"/>
                <w:sz w:val="24"/>
                <w:szCs w:val="24"/>
                <w:shd w:val="clear" w:color="auto" w:fill="FFFFFF"/>
                <w:lang w:val="kk-KZ" w:eastAsia="ru-RU"/>
              </w:rPr>
              <w:t xml:space="preserve">Смағұлов </w:t>
            </w:r>
          </w:p>
          <w:p w14:paraId="41B7CFBD" w14:textId="29A90CDC" w:rsidR="009B650A" w:rsidRPr="006D6D33" w:rsidRDefault="006D6D33" w:rsidP="006D6D33">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shd w:val="clear" w:color="auto" w:fill="FFFFFF"/>
                <w:lang w:val="kk-KZ" w:eastAsia="ru-RU"/>
              </w:rPr>
              <w:t>к-сі, 76</w:t>
            </w:r>
          </w:p>
        </w:tc>
        <w:tc>
          <w:tcPr>
            <w:tcW w:w="2749" w:type="dxa"/>
            <w:tcBorders>
              <w:top w:val="single" w:sz="4" w:space="0" w:color="000000"/>
              <w:left w:val="single" w:sz="4" w:space="0" w:color="000000"/>
              <w:bottom w:val="single" w:sz="4" w:space="0" w:color="000000"/>
              <w:right w:val="single" w:sz="4" w:space="0" w:color="000000"/>
            </w:tcBorders>
          </w:tcPr>
          <w:p w14:paraId="2D34C190" w14:textId="33ED909B"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D6D33">
              <w:rPr>
                <w:rFonts w:ascii="Times New Roman" w:eastAsia="Calibri" w:hAnsi="Times New Roman" w:cs="Times New Roman"/>
                <w:lang w:val="en-US"/>
              </w:rPr>
              <w:t>66-23-32</w:t>
            </w:r>
            <w:r w:rsidRPr="00A25445">
              <w:rPr>
                <w:rFonts w:ascii="Times New Roman" w:eastAsia="Calibri" w:hAnsi="Times New Roman" w:cs="Times New Roman"/>
                <w:lang w:val="en-US"/>
              </w:rPr>
              <w:t>;</w:t>
            </w:r>
          </w:p>
          <w:p w14:paraId="508E4807" w14:textId="5F7A1A26" w:rsidR="009B650A" w:rsidRPr="006D6D33" w:rsidRDefault="006A38B8" w:rsidP="00534D62">
            <w:pPr>
              <w:spacing w:after="0" w:line="276" w:lineRule="auto"/>
              <w:rPr>
                <w:rFonts w:ascii="Arial" w:hAnsi="Arial" w:cs="Arial"/>
                <w:b/>
                <w:bCs/>
                <w:color w:val="000000"/>
                <w:sz w:val="20"/>
                <w:szCs w:val="20"/>
                <w:shd w:val="clear" w:color="auto" w:fill="FFFFFF"/>
                <w:lang w:val="kk-KZ"/>
              </w:rPr>
            </w:pPr>
            <w:bookmarkStart w:id="1" w:name="_Hlk94085354"/>
            <w:r>
              <w:rPr>
                <w:rFonts w:ascii="Times New Roman" w:eastAsia="Calibri" w:hAnsi="Times New Roman" w:cs="Times New Roman"/>
                <w:sz w:val="24"/>
                <w:szCs w:val="24"/>
                <w:shd w:val="clear" w:color="auto" w:fill="FFFFFF"/>
                <w:lang w:val="en-US"/>
              </w:rPr>
              <w:t>email:</w:t>
            </w:r>
            <w:bookmarkEnd w:id="1"/>
            <w:r w:rsidR="006D6D33" w:rsidRPr="006D6D33">
              <w:rPr>
                <w:rFonts w:ascii="Arial" w:hAnsi="Arial" w:cs="Arial"/>
                <w:b/>
                <w:bCs/>
                <w:color w:val="000000"/>
                <w:sz w:val="20"/>
                <w:szCs w:val="20"/>
                <w:shd w:val="clear" w:color="auto" w:fill="FFFFFF"/>
                <w:lang w:val="en-US"/>
              </w:rPr>
              <w:t xml:space="preserve"> </w:t>
            </w:r>
            <w:r w:rsidR="006D6D33" w:rsidRPr="006D6D33">
              <w:rPr>
                <w:rFonts w:ascii="Times New Roman" w:hAnsi="Times New Roman" w:cs="Times New Roman"/>
                <w:bCs/>
                <w:color w:val="000000"/>
                <w:sz w:val="20"/>
                <w:szCs w:val="20"/>
                <w:shd w:val="clear" w:color="auto" w:fill="FFFFFF"/>
                <w:lang w:val="en-US"/>
              </w:rPr>
              <w:t>sad52@goo.edu.kz</w:t>
            </w:r>
          </w:p>
          <w:p w14:paraId="7D6E2588" w14:textId="77777777" w:rsidR="009B650A" w:rsidRPr="00A25445" w:rsidRDefault="009B650A" w:rsidP="006D6D33">
            <w:pPr>
              <w:spacing w:after="0" w:line="276" w:lineRule="auto"/>
              <w:ind w:firstLine="709"/>
              <w:jc w:val="right"/>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561FBF">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561FBF">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rPr>
        <w:t>де</w:t>
      </w:r>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561FBF">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561FBF">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561FBF">
        <w:rPr>
          <w:rFonts w:ascii="Times New Roman" w:eastAsia="Calibri" w:hAnsi="Times New Roman" w:cs="Times New Roman"/>
          <w:color w:val="000000"/>
          <w:sz w:val="24"/>
          <w:szCs w:val="24"/>
        </w:rPr>
        <w:t>.</w:t>
      </w:r>
      <w:r w:rsidRPr="00561FBF">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78689A62"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561FBF">
        <w:rPr>
          <w:rFonts w:ascii="Times New Roman" w:eastAsia="Calibri" w:hAnsi="Times New Roman" w:cs="Times New Roman"/>
          <w:b/>
          <w:color w:val="000000"/>
          <w:sz w:val="24"/>
          <w:szCs w:val="24"/>
          <w:lang w:val="kk-KZ"/>
        </w:rPr>
        <w:t>15</w:t>
      </w:r>
      <w:r w:rsidRPr="009B650A">
        <w:rPr>
          <w:rFonts w:ascii="Times New Roman" w:eastAsia="Calibri" w:hAnsi="Times New Roman" w:cs="Times New Roman"/>
          <w:b/>
          <w:color w:val="000000"/>
          <w:sz w:val="24"/>
          <w:szCs w:val="24"/>
          <w:lang w:val="kk-KZ"/>
        </w:rPr>
        <w:t>0 000 теңгеден 1</w:t>
      </w:r>
      <w:r w:rsidR="00561FBF">
        <w:rPr>
          <w:rFonts w:ascii="Times New Roman" w:eastAsia="Calibri" w:hAnsi="Times New Roman" w:cs="Times New Roman"/>
          <w:b/>
          <w:color w:val="000000"/>
          <w:sz w:val="24"/>
          <w:szCs w:val="24"/>
          <w:lang w:val="kk-KZ"/>
        </w:rPr>
        <w:t>8</w:t>
      </w:r>
      <w:r w:rsidRPr="009B650A">
        <w:rPr>
          <w:rFonts w:ascii="Times New Roman" w:eastAsia="Calibri" w:hAnsi="Times New Roman" w:cs="Times New Roman"/>
          <w:b/>
          <w:color w:val="000000"/>
          <w:sz w:val="24"/>
          <w:szCs w:val="24"/>
          <w:lang w:val="kk-KZ"/>
        </w:rPr>
        <w:t xml:space="preserve">0 000 теңгеге дейін. </w:t>
      </w:r>
    </w:p>
    <w:p w14:paraId="55749404" w14:textId="0B821503"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Мемлекеттік білім беру ұйымдарының бірінші басшылары мен педагогтерін лауазымға тағайындау, лауазымнан босату қағидалары</w:t>
      </w:r>
      <w:r w:rsidR="006D6D33">
        <w:rPr>
          <w:rFonts w:ascii="Times New Roman" w:eastAsia="Calibri" w:hAnsi="Times New Roman" w:cs="Times New Roman"/>
          <w:color w:val="000000"/>
          <w:sz w:val="24"/>
          <w:szCs w:val="24"/>
          <w:lang w:val="kk-KZ"/>
        </w:rPr>
        <w:t>»</w:t>
      </w:r>
    </w:p>
    <w:p w14:paraId="745F3A83" w14:textId="08EEBADB"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561FBF">
        <w:rPr>
          <w:rFonts w:ascii="Times New Roman" w:eastAsia="Calibri" w:hAnsi="Times New Roman" w:cs="Times New Roman"/>
          <w:b/>
          <w:color w:val="000000"/>
          <w:sz w:val="24"/>
          <w:szCs w:val="24"/>
          <w:lang w:val="kk-KZ"/>
        </w:rPr>
        <w:t>24</w:t>
      </w:r>
      <w:r w:rsidR="006D6D33">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w:t>
      </w:r>
      <w:r w:rsidR="00561FBF">
        <w:rPr>
          <w:rFonts w:ascii="Times New Roman" w:eastAsia="Calibri" w:hAnsi="Times New Roman" w:cs="Times New Roman"/>
          <w:b/>
          <w:color w:val="000000"/>
          <w:sz w:val="24"/>
          <w:szCs w:val="24"/>
          <w:lang w:val="kk-KZ"/>
        </w:rPr>
        <w:t>11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w:t>
      </w:r>
      <w:r w:rsidRPr="00F8475B">
        <w:rPr>
          <w:rFonts w:ascii="Times New Roman" w:eastAsia="Calibri" w:hAnsi="Times New Roman" w:cs="Times New Roman"/>
          <w:color w:val="000000"/>
          <w:sz w:val="24"/>
          <w:szCs w:val="24"/>
          <w:lang w:val="kk-KZ"/>
        </w:rPr>
        <w:t xml:space="preserve">Павлодар қаласы № </w:t>
      </w:r>
      <w:r w:rsidR="006D6D33">
        <w:rPr>
          <w:rFonts w:ascii="Times New Roman" w:eastAsia="Calibri" w:hAnsi="Times New Roman" w:cs="Times New Roman"/>
          <w:color w:val="000000"/>
          <w:sz w:val="24"/>
          <w:szCs w:val="24"/>
          <w:lang w:val="kk-KZ"/>
        </w:rPr>
        <w:t>52</w:t>
      </w:r>
      <w:r w:rsidRPr="00F8475B">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арнайы балабақшасы»</w:t>
      </w:r>
      <w:r w:rsidRPr="00F8475B">
        <w:rPr>
          <w:rFonts w:ascii="Times New Roman" w:eastAsia="Calibri" w:hAnsi="Times New Roman" w:cs="Times New Roman"/>
          <w:color w:val="000000"/>
          <w:sz w:val="24"/>
          <w:szCs w:val="24"/>
          <w:lang w:val="kk-KZ"/>
        </w:rPr>
        <w:t xml:space="preserve"> коммуналдық мемлекеттік қазыналық кәсіпорны, Павлодар қаласы, </w:t>
      </w:r>
      <w:r w:rsidR="00561FBF">
        <w:rPr>
          <w:rFonts w:ascii="Times New Roman" w:eastAsia="Calibri" w:hAnsi="Times New Roman" w:cs="Times New Roman"/>
          <w:color w:val="000000"/>
          <w:sz w:val="24"/>
          <w:szCs w:val="24"/>
          <w:lang w:val="kk-KZ"/>
        </w:rPr>
        <w:t xml:space="preserve">Генерал </w:t>
      </w:r>
      <w:r w:rsidR="006D6D33">
        <w:rPr>
          <w:rFonts w:ascii="Times New Roman" w:eastAsia="Calibri" w:hAnsi="Times New Roman" w:cs="Times New Roman"/>
          <w:color w:val="000000"/>
          <w:sz w:val="24"/>
          <w:szCs w:val="24"/>
          <w:lang w:val="kk-KZ"/>
        </w:rPr>
        <w:t>Смағұлов көшесі</w:t>
      </w:r>
      <w:r w:rsidRPr="006F469A">
        <w:rPr>
          <w:rFonts w:ascii="Times New Roman" w:eastAsia="Calibri" w:hAnsi="Times New Roman" w:cs="Times New Roman"/>
          <w:color w:val="000000"/>
          <w:sz w:val="24"/>
          <w:szCs w:val="24"/>
          <w:lang w:val="kk-KZ"/>
        </w:rPr>
        <w:t xml:space="preserve">, </w:t>
      </w:r>
      <w:r w:rsidR="006D6D33">
        <w:rPr>
          <w:rFonts w:ascii="Times New Roman" w:eastAsia="Calibri" w:hAnsi="Times New Roman" w:cs="Times New Roman"/>
          <w:color w:val="000000"/>
          <w:sz w:val="24"/>
          <w:szCs w:val="24"/>
          <w:lang w:val="kk-KZ"/>
        </w:rPr>
        <w:t>76</w:t>
      </w:r>
      <w:r w:rsidRPr="006F469A">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1CA033E0"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Денсаулық сақтау саласындағы есепке алу құжаттамасының нысандарын бекіту туралы</w:t>
      </w:r>
      <w:r w:rsidR="006D6D33">
        <w:rPr>
          <w:rFonts w:ascii="Times New Roman" w:eastAsia="Calibri" w:hAnsi="Times New Roman" w:cs="Times New Roman"/>
          <w:color w:val="000000"/>
          <w:sz w:val="24"/>
          <w:szCs w:val="24"/>
          <w:lang w:val="kk-KZ"/>
        </w:rPr>
        <w:t>»</w:t>
      </w:r>
      <w:r w:rsidRPr="009B650A">
        <w:rPr>
          <w:rFonts w:ascii="Times New Roman" w:eastAsia="Calibri" w:hAnsi="Times New Roman" w:cs="Times New Roman"/>
          <w:color w:val="000000"/>
          <w:sz w:val="24"/>
          <w:szCs w:val="24"/>
          <w:lang w:val="kk-KZ"/>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90DFB6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6D6D33">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61FBF"/>
    <w:rsid w:val="0058040B"/>
    <w:rsid w:val="006133CD"/>
    <w:rsid w:val="00666764"/>
    <w:rsid w:val="006A38B8"/>
    <w:rsid w:val="006D6D33"/>
    <w:rsid w:val="006F469A"/>
    <w:rsid w:val="0074062D"/>
    <w:rsid w:val="007A7E15"/>
    <w:rsid w:val="007D0D1C"/>
    <w:rsid w:val="007E0CF4"/>
    <w:rsid w:val="0088087E"/>
    <w:rsid w:val="00927359"/>
    <w:rsid w:val="00967D5C"/>
    <w:rsid w:val="009B650A"/>
    <w:rsid w:val="00A23B20"/>
    <w:rsid w:val="00A25445"/>
    <w:rsid w:val="00A43974"/>
    <w:rsid w:val="00AE5998"/>
    <w:rsid w:val="00AF2CBA"/>
    <w:rsid w:val="00BC09FC"/>
    <w:rsid w:val="00C46EAA"/>
    <w:rsid w:val="00F5345F"/>
    <w:rsid w:val="00F60B2A"/>
    <w:rsid w:val="00F8475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Секретарь</cp:lastModifiedBy>
  <cp:revision>34</cp:revision>
  <dcterms:created xsi:type="dcterms:W3CDTF">2022-12-26T08:30:00Z</dcterms:created>
  <dcterms:modified xsi:type="dcterms:W3CDTF">2023-10-24T11:03:00Z</dcterms:modified>
</cp:coreProperties>
</file>