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0A" w:rsidRDefault="00AA5F0A" w:rsidP="00821CA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21CAC" w:rsidRPr="00821CAC" w:rsidTr="00821CA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1CAC" w:rsidRPr="00821CAC" w:rsidRDefault="00821CAC" w:rsidP="004A01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821C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 Критериям оценки</w:t>
            </w:r>
            <w:r w:rsidRPr="00821C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организаций образования</w:t>
            </w:r>
          </w:p>
        </w:tc>
      </w:tr>
    </w:tbl>
    <w:p w:rsidR="00821CAC" w:rsidRPr="004A0185" w:rsidRDefault="004A0185" w:rsidP="004A018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</w:pPr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 xml:space="preserve">Самооценка деятельности КГУ «СОШ имени С. </w:t>
      </w:r>
      <w:proofErr w:type="spellStart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>Торайгырова</w:t>
      </w:r>
      <w:proofErr w:type="spellEnd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 xml:space="preserve"> </w:t>
      </w:r>
      <w:proofErr w:type="spellStart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>г</w:t>
      </w:r>
      <w:proofErr w:type="gramStart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>.П</w:t>
      </w:r>
      <w:proofErr w:type="gramEnd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>авлодара</w:t>
      </w:r>
      <w:proofErr w:type="spellEnd"/>
      <w:r w:rsidRPr="004A0185">
        <w:rPr>
          <w:rFonts w:ascii="Arial" w:eastAsia="Times New Roman" w:hAnsi="Arial" w:cs="Arial"/>
          <w:b/>
          <w:color w:val="1E1E1E"/>
          <w:sz w:val="20"/>
          <w:szCs w:val="20"/>
          <w:lang w:eastAsia="ru-RU"/>
        </w:rPr>
        <w:t>» за 20220 – 2023 учебный год</w:t>
      </w:r>
    </w:p>
    <w:tbl>
      <w:tblPr>
        <w:tblW w:w="148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359"/>
        <w:gridCol w:w="3198"/>
        <w:gridCol w:w="1453"/>
        <w:gridCol w:w="4961"/>
        <w:gridCol w:w="1417"/>
      </w:tblGrid>
      <w:tr w:rsidR="00D22F08" w:rsidRPr="00821CAC" w:rsidTr="00D22F0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Измерители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Показатели школы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D22F08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Баллы</w:t>
            </w: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Всего учителей – 97</w:t>
            </w:r>
          </w:p>
          <w:p w:rsidR="004A0185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Высшее образование, послевузовское – 89 (92%)</w:t>
            </w:r>
          </w:p>
          <w:p w:rsidR="004A0185" w:rsidRPr="00821CAC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ТиПО</w:t>
            </w:r>
            <w:proofErr w:type="spellEnd"/>
            <w:r>
              <w:rPr>
                <w:lang w:eastAsia="ru-RU"/>
              </w:rPr>
              <w:t xml:space="preserve"> - 8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Доля педагогов, которые не реже одного раза в пять лет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повышали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100% учителей 1 раз в 5 лет повышают квалификационную категорию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Доля педагогов, прошедших курсы повышения квалификации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72% педагогов прошли курсы повышения квалификации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 </w:t>
            </w:r>
            <w:hyperlink r:id="rId6" w:anchor="z0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0" w:name="z126"/>
            <w:bookmarkEnd w:id="0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более 45 %, гимназий более 50 %;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" w:name="z127"/>
            <w:bookmarkEnd w:id="1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более 30 %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Всего учителей – 37</w:t>
            </w:r>
          </w:p>
          <w:p w:rsidR="004A0185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Педагог-мастер -1</w:t>
            </w:r>
          </w:p>
          <w:p w:rsidR="004A0185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Педагог-исследователь – 7</w:t>
            </w:r>
          </w:p>
          <w:p w:rsidR="004A0185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Педагог-эксперт-5</w:t>
            </w:r>
          </w:p>
          <w:p w:rsidR="004A0185" w:rsidRDefault="004A0185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 –</w:t>
            </w:r>
            <w:r w:rsidR="00490D1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модератор-15</w:t>
            </w:r>
          </w:p>
          <w:p w:rsidR="00490D13" w:rsidRDefault="00490D13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Первая категория – 8</w:t>
            </w:r>
          </w:p>
          <w:p w:rsidR="00490D13" w:rsidRDefault="00490D13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Вторая категория – 1</w:t>
            </w:r>
          </w:p>
          <w:p w:rsidR="00490D13" w:rsidRPr="00821CAC" w:rsidRDefault="00490D13" w:rsidP="004A0185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39% доля педагогов высшей и первой категории, педагог-мастер, педагог-исследователь, педагог-эксперт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490D13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" w:name="z129"/>
            <w:bookmarkEnd w:id="2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от 35 до 44 %, гимназий от 40 до 49 %;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130"/>
            <w:bookmarkEnd w:id="3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общеобразовательные школы от 25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до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29 %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4A0185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132"/>
            <w:bookmarkEnd w:id="4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от 25 до 34 %, гимназий от 30 до 39 %;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133"/>
            <w:bookmarkEnd w:id="5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Для малокомплектных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общеобразовательные школы от 20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до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24 %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35"/>
            <w:bookmarkEnd w:id="6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менее 25 %, гимназий менее 30 %;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36"/>
            <w:bookmarkEnd w:id="7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менее 20%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746B54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 </w:t>
            </w:r>
            <w:hyperlink r:id="rId7" w:anchor="z0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38"/>
            <w:bookmarkEnd w:id="8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39"/>
            <w:bookmarkEnd w:id="9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и/или участников и победителей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республиканских конкурсов и соревнований за последние пять лет, утвержденных уполномоченным органом в сфере образования;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40"/>
            <w:bookmarkEnd w:id="10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более 35 %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Всего учителей – </w:t>
            </w:r>
            <w:r>
              <w:rPr>
                <w:lang w:eastAsia="ru-RU"/>
              </w:rPr>
              <w:t>5</w:t>
            </w:r>
            <w:r>
              <w:rPr>
                <w:lang w:eastAsia="ru-RU"/>
              </w:rPr>
              <w:t>7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Педагог-исследователь – </w:t>
            </w:r>
            <w:r>
              <w:rPr>
                <w:lang w:eastAsia="ru-RU"/>
              </w:rPr>
              <w:t>21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Педагог-эксперт-</w:t>
            </w:r>
            <w:r>
              <w:rPr>
                <w:lang w:eastAsia="ru-RU"/>
              </w:rPr>
              <w:t>3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 – модератор-</w:t>
            </w:r>
            <w:r>
              <w:rPr>
                <w:lang w:eastAsia="ru-RU"/>
              </w:rPr>
              <w:t>11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Педагог - 17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Первая категория – </w:t>
            </w:r>
            <w:r>
              <w:rPr>
                <w:lang w:eastAsia="ru-RU"/>
              </w:rPr>
              <w:t>3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Вторая категория – </w:t>
            </w:r>
            <w:r>
              <w:rPr>
                <w:lang w:eastAsia="ru-RU"/>
              </w:rPr>
              <w:t>1</w:t>
            </w:r>
          </w:p>
          <w:p w:rsidR="00746B54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Высшая категория - 1</w:t>
            </w:r>
          </w:p>
          <w:p w:rsidR="00D22F08" w:rsidRPr="00821CAC" w:rsidRDefault="00746B54" w:rsidP="00746B5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eastAsia="ru-RU"/>
              </w:rPr>
              <w:t>9% доля педагогов высшей и п</w:t>
            </w:r>
            <w:r>
              <w:rPr>
                <w:lang w:eastAsia="ru-RU"/>
              </w:rPr>
              <w:t xml:space="preserve">ервой категории, </w:t>
            </w:r>
            <w:r>
              <w:rPr>
                <w:lang w:eastAsia="ru-RU"/>
              </w:rPr>
              <w:t xml:space="preserve"> педагог-исследователь, педагог-эксперт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746B54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42"/>
            <w:bookmarkEnd w:id="11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43"/>
            <w:bookmarkEnd w:id="12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44"/>
            <w:bookmarkEnd w:id="13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от 30% до 34 %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46"/>
            <w:bookmarkEnd w:id="14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от 35% до 44 %, лицеи от 40 % до 49 %, из них доля педагогов естественно-математического направления от 30 % до 39 %,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47"/>
            <w:bookmarkEnd w:id="15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148"/>
            <w:bookmarkEnd w:id="16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от 25 до 29 %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полнокомплектных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150"/>
            <w:bookmarkEnd w:id="17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151"/>
            <w:bookmarkEnd w:id="18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гимназий менее 40 %, из них доля педагогов общественно-гуманитарного направления менее 30 % 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152"/>
            <w:bookmarkEnd w:id="19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Для малокомплектных организаций образования: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br/>
              <w:t>общеобразовательные школы менее 25%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Оснащенность оборудованием и мебелью организаций образования в соответствии с </w:t>
            </w:r>
            <w:hyperlink r:id="rId8" w:anchor="z1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 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Министра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746B54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100% оснащенность оборудованием и мебелью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746B54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746B54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746B54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 </w:t>
            </w:r>
            <w:hyperlink r:id="rId9" w:anchor="z0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приказу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746B54" w:rsidP="005644C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Имеется </w:t>
            </w:r>
            <w:r w:rsidRPr="00746B54">
              <w:rPr>
                <w:lang w:eastAsia="ru-RU"/>
              </w:rPr>
              <w:t>пандус, окрашивание контрастной краской дверей и лестниц) для лиц с особыми образовательными потребностями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5644CA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746B54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746B54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 </w:t>
            </w:r>
            <w:hyperlink r:id="rId10" w:anchor="z1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19 января 2016 года № 44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 (зарегистрирован в Реестре государственной регистрации нормативных правовых актов под № 13070), от </w:t>
            </w:r>
            <w:hyperlink r:id="rId11" w:anchor="z3" w:history="1">
              <w:r w:rsidRPr="00821CAC">
                <w:rPr>
                  <w:rFonts w:ascii="Arial" w:eastAsia="Times New Roman" w:hAnsi="Arial" w:cs="Arial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22 мая 2020 года № 216</w:t>
              </w:r>
            </w:hyperlink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 (зарегистрирован в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Реестре государственной регистрации нормативных правовых актов под № 20708)</w:t>
            </w:r>
            <w:proofErr w:type="gramEnd"/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5644CA" w:rsidP="005644C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100% обеспеченность </w:t>
            </w:r>
            <w:r w:rsidRPr="005644CA">
              <w:rPr>
                <w:lang w:eastAsia="ru-RU"/>
              </w:rPr>
              <w:t>учебно-методическими комплексами, учебной и художественной литературы</w:t>
            </w:r>
            <w:r>
              <w:rPr>
                <w:lang w:eastAsia="ru-RU"/>
              </w:rPr>
              <w:t xml:space="preserve"> </w:t>
            </w:r>
            <w:r w:rsidRPr="005644CA">
              <w:rPr>
                <w:lang w:eastAsia="ru-RU"/>
              </w:rPr>
              <w:t>начального, основного среднего и общего образования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5644CA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6E43E7" w:rsidP="005644CA">
            <w:pPr>
              <w:pStyle w:val="a6"/>
              <w:jc w:val="both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5644CA">
              <w:rPr>
                <w:lang w:eastAsia="ru-RU"/>
              </w:rPr>
              <w:t>% наполняемость классов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5644CA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95 - 99 %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80 - 94 %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80 %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5644CA">
            <w:pPr>
              <w:pStyle w:val="a6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Результаты обучения (оценка качества знаний, умений и навыков)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по итогам компьютерного тестирования доля положительных ответов по всем тестируемым направлениям составляет от 85 % до 100 %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6E43E7" w:rsidP="005644CA">
            <w:pPr>
              <w:pStyle w:val="a6"/>
              <w:jc w:val="both"/>
              <w:rPr>
                <w:lang w:eastAsia="ru-RU"/>
              </w:rPr>
            </w:pPr>
            <w:r>
              <w:rPr>
                <w:lang w:eastAsia="ru-RU"/>
              </w:rPr>
              <w:t>54% качества знаний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6E43E7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по итогам компьютерного тестирования доля положительных ответов по всем тестируемым направлениям составляет от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40% до 64 %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Анализ результатов опроса обучающихся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от 80 % до 100% респондентов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удовлетворены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от 65% до 79 % респондентов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удовлетворены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от 50 % до 64 % респондентов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удовлетворены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менее 50 % респондентов </w:t>
            </w:r>
            <w:proofErr w:type="gramStart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удовлетворены</w:t>
            </w:r>
            <w:proofErr w:type="gramEnd"/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 уровнем предоставляемых образовательных услуг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Анализ результатов опроса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педагогов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от 80 % до 100% респондентов удовлетворены уровнем создания условий для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качественного обучения и воспитания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Анализ результатов опроса родителей (законных представителей)</w:t>
            </w: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от 80 % до 100% респондентов удовлетворены уровнем подготовки обучающихся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от 65% до 79 % респондентов удовлетворены уровнем подготовки обучающихся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 xml:space="preserve">от 50 % до 64 % респондентов удовлетворены уровнем </w:t>
            </w: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подготовки обучающихся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22F08" w:rsidRPr="00821CAC" w:rsidTr="00D22F0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22F08" w:rsidRPr="00821CAC" w:rsidRDefault="00D22F08" w:rsidP="00821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менее 50 % респондентов удовлетворены уровнем подготовки обучающихся</w:t>
            </w:r>
          </w:p>
        </w:tc>
        <w:tc>
          <w:tcPr>
            <w:tcW w:w="14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  <w:r w:rsidRPr="00821CAC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r w:rsidRPr="00821C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  <w:tc>
          <w:tcPr>
            <w:tcW w:w="4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22F08" w:rsidRPr="00821CAC" w:rsidRDefault="00D22F08" w:rsidP="00821CAC">
            <w:pPr>
              <w:spacing w:after="360" w:line="285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</w:tbl>
    <w:p w:rsidR="0084659F" w:rsidRDefault="00821CAC" w:rsidP="00821CAC">
      <w:pPr>
        <w:shd w:val="clear" w:color="auto" w:fill="FFFFFF"/>
        <w:spacing w:after="360" w:line="285" w:lineRule="atLeast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821CA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      </w:t>
      </w:r>
    </w:p>
    <w:p w:rsidR="00821CAC" w:rsidRPr="00821CAC" w:rsidRDefault="00821CAC" w:rsidP="00821CAC">
      <w:pPr>
        <w:shd w:val="clear" w:color="auto" w:fill="FFFFFF"/>
        <w:spacing w:after="360" w:line="285" w:lineRule="atLeast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821CA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Руководитель </w:t>
      </w:r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КГУ «СОШ имени С. </w:t>
      </w:r>
      <w:proofErr w:type="spellStart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Торайгырова</w:t>
      </w:r>
      <w:proofErr w:type="spellEnd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г</w:t>
      </w:r>
      <w:proofErr w:type="gramStart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.П</w:t>
      </w:r>
      <w:proofErr w:type="gramEnd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авлодара</w:t>
      </w:r>
      <w:proofErr w:type="spellEnd"/>
      <w:r w:rsidR="0084659F" w:rsidRP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» </w:t>
      </w:r>
      <w:r w:rsidRPr="00821CA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</w:t>
      </w:r>
      <w:r w:rsid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Айгожин</w:t>
      </w:r>
      <w:proofErr w:type="spellEnd"/>
      <w:r w:rsidR="0084659F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Б.К.</w:t>
      </w:r>
      <w:r w:rsidRPr="00821CA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      </w:t>
      </w:r>
      <w:bookmarkStart w:id="20" w:name="_GoBack"/>
      <w:bookmarkEnd w:id="20"/>
    </w:p>
    <w:sectPr w:rsidR="00821CAC" w:rsidRPr="00821CAC" w:rsidSect="00D22F08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0390"/>
    <w:multiLevelType w:val="hybridMultilevel"/>
    <w:tmpl w:val="C1A6AD30"/>
    <w:lvl w:ilvl="0" w:tplc="815ADA64">
      <w:start w:val="1"/>
      <w:numFmt w:val="decimal"/>
      <w:lvlText w:val="%1)"/>
      <w:lvlJc w:val="left"/>
      <w:pPr>
        <w:ind w:left="9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22D"/>
    <w:rsid w:val="0006022D"/>
    <w:rsid w:val="00490D13"/>
    <w:rsid w:val="004A0185"/>
    <w:rsid w:val="005644CA"/>
    <w:rsid w:val="006E43E7"/>
    <w:rsid w:val="00746B54"/>
    <w:rsid w:val="00821CAC"/>
    <w:rsid w:val="0084659F"/>
    <w:rsid w:val="00AA5F0A"/>
    <w:rsid w:val="00C647EB"/>
    <w:rsid w:val="00D22F08"/>
    <w:rsid w:val="00F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EB"/>
  </w:style>
  <w:style w:type="paragraph" w:styleId="3">
    <w:name w:val="heading 3"/>
    <w:basedOn w:val="a"/>
    <w:link w:val="30"/>
    <w:uiPriority w:val="9"/>
    <w:qFormat/>
    <w:rsid w:val="00821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5F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1C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4A01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27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2000307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30721" TargetMode="External"/><Relationship Id="rId11" Type="http://schemas.openxmlformats.org/officeDocument/2006/relationships/hyperlink" Target="https://adilet.zan.kz/rus/docs/V20000207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1600013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6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dcterms:created xsi:type="dcterms:W3CDTF">2023-10-26T05:50:00Z</dcterms:created>
  <dcterms:modified xsi:type="dcterms:W3CDTF">2023-10-31T08:30:00Z</dcterms:modified>
</cp:coreProperties>
</file>