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92" w:rsidRPr="00A76292" w:rsidRDefault="00EF1FD6" w:rsidP="00B00AEE">
      <w:pPr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0F4B2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№44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  <w:r w:rsidR="00A76292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0F4B2D">
        <w:rPr>
          <w:rFonts w:ascii="Arial" w:hAnsi="Arial" w:cs="Arial"/>
          <w:b/>
          <w:bCs/>
          <w:sz w:val="21"/>
          <w:szCs w:val="21"/>
          <w:lang w:val="kk-KZ"/>
        </w:rPr>
        <w:t xml:space="preserve">оқу-тәрбие бойынша </w:t>
      </w:r>
    </w:p>
    <w:p w:rsidR="00B00AEE" w:rsidRDefault="000F4B2D" w:rsidP="00B00AEE">
      <w:pPr>
        <w:jc w:val="center"/>
        <w:textAlignment w:val="baseline"/>
        <w:outlineLvl w:val="2"/>
        <w:rPr>
          <w:rFonts w:ascii="Arial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bCs/>
          <w:sz w:val="21"/>
          <w:szCs w:val="21"/>
          <w:lang w:val="kk-KZ"/>
        </w:rPr>
        <w:t>басшының орынбасары</w:t>
      </w:r>
      <w:r w:rsidR="00D70D9E" w:rsidRPr="001F4BA9">
        <w:rPr>
          <w:rFonts w:ascii="Arial" w:hAnsi="Arial" w:cs="Arial"/>
          <w:b/>
          <w:bCs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lang w:val="kk-KZ"/>
        </w:rPr>
        <w:t xml:space="preserve">бос </w:t>
      </w:r>
      <w:r w:rsidR="00D70D9E" w:rsidRPr="001F4BA9">
        <w:rPr>
          <w:rFonts w:ascii="Arial" w:hAnsi="Arial" w:cs="Arial"/>
          <w:b/>
          <w:bCs/>
          <w:sz w:val="21"/>
          <w:szCs w:val="21"/>
          <w:lang w:val="kk-KZ"/>
        </w:rPr>
        <w:t>лауазымына</w:t>
      </w:r>
      <w:r w:rsidR="00B00AEE" w:rsidRPr="001F4BA9">
        <w:rPr>
          <w:rFonts w:ascii="Arial" w:hAnsi="Arial" w:cs="Arial"/>
          <w:b/>
          <w:bCs/>
          <w:sz w:val="21"/>
          <w:szCs w:val="21"/>
          <w:lang w:val="kk-KZ"/>
        </w:rPr>
        <w:t xml:space="preserve"> конкурс жариялайды</w:t>
      </w:r>
    </w:p>
    <w:p w:rsidR="00B733A7" w:rsidRPr="001F4BA9" w:rsidRDefault="00B733A7" w:rsidP="00B00AEE">
      <w:pPr>
        <w:jc w:val="center"/>
        <w:textAlignment w:val="baseline"/>
        <w:outlineLvl w:val="2"/>
        <w:rPr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288"/>
        <w:gridCol w:w="7335"/>
      </w:tblGrid>
      <w:tr w:rsidR="001F4BA9" w:rsidRPr="00697C95" w:rsidTr="00A76292">
        <w:trPr>
          <w:trHeight w:val="711"/>
        </w:trPr>
        <w:tc>
          <w:tcPr>
            <w:tcW w:w="514" w:type="dxa"/>
            <w:vMerge w:val="restart"/>
          </w:tcPr>
          <w:p w:rsidR="00CB6B4F" w:rsidRPr="000F4B2D" w:rsidRDefault="00CB6B4F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0F4B2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288" w:type="dxa"/>
          </w:tcPr>
          <w:p w:rsidR="00CB6B4F" w:rsidRPr="00A76292" w:rsidRDefault="00CB6B4F" w:rsidP="00CB6B4F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A76292">
              <w:rPr>
                <w:rFonts w:ascii="Arial" w:hAnsi="Arial" w:cs="Arial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CB6B4F" w:rsidRPr="00B733A7" w:rsidRDefault="00CB6B4F" w:rsidP="00EC773A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</w:t>
            </w:r>
            <w:r w:rsidR="000F4B2D"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№</w:t>
            </w:r>
            <w:r w:rsid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0F4B2D"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44</w:t>
            </w:r>
            <w:r w:rsidR="00EC773A"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жалпы орта білім беру мектебі</w:t>
            </w:r>
            <w:r w:rsidR="00DF4A7D"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697C95" w:rsidTr="00A76292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88" w:type="dxa"/>
          </w:tcPr>
          <w:p w:rsidR="00CB6B4F" w:rsidRPr="00A76292" w:rsidRDefault="00A76292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CB6B4F"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рналасқан жері, пошталық мекенжайы</w:t>
            </w:r>
          </w:p>
        </w:tc>
        <w:tc>
          <w:tcPr>
            <w:tcW w:w="7335" w:type="dxa"/>
          </w:tcPr>
          <w:p w:rsidR="00B733A7" w:rsidRDefault="00CB6B4F" w:rsidP="00B668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733A7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B733A7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</w:t>
            </w:r>
          </w:p>
          <w:p w:rsidR="00CB6B4F" w:rsidRPr="00B733A7" w:rsidRDefault="00BA4B1E" w:rsidP="00B668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733A7">
              <w:rPr>
                <w:rFonts w:ascii="Arial" w:hAnsi="Arial" w:cs="Arial"/>
                <w:sz w:val="20"/>
                <w:szCs w:val="20"/>
                <w:lang w:val="kk-KZ"/>
              </w:rPr>
              <w:t xml:space="preserve">  </w:t>
            </w:r>
            <w:r w:rsidR="00CB6B4F" w:rsidRPr="00B733A7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B6681B" w:rsidRPr="00B733A7">
              <w:rPr>
                <w:rFonts w:ascii="Arial" w:hAnsi="Arial" w:cs="Arial"/>
                <w:sz w:val="20"/>
                <w:szCs w:val="20"/>
                <w:lang w:val="kk-KZ"/>
              </w:rPr>
              <w:t>Шығыс өңдірістік аймақ көшесі, 519-құрылыс</w:t>
            </w:r>
          </w:p>
        </w:tc>
      </w:tr>
      <w:tr w:rsidR="001F4BA9" w:rsidRPr="001F4BA9" w:rsidTr="00A76292">
        <w:trPr>
          <w:trHeight w:val="328"/>
        </w:trPr>
        <w:tc>
          <w:tcPr>
            <w:tcW w:w="514" w:type="dxa"/>
            <w:vMerge/>
          </w:tcPr>
          <w:p w:rsidR="00CB6B4F" w:rsidRPr="00B6681B" w:rsidRDefault="00CB6B4F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88" w:type="dxa"/>
          </w:tcPr>
          <w:p w:rsidR="00CB6B4F" w:rsidRPr="009346B9" w:rsidRDefault="009346B9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9346B9">
              <w:rPr>
                <w:rFonts w:ascii="Arial" w:eastAsia="Calibri" w:hAnsi="Arial" w:cs="Arial"/>
                <w:sz w:val="20"/>
                <w:szCs w:val="20"/>
                <w:lang w:val="kk-KZ"/>
              </w:rPr>
              <w:t>телефон нөмірлері</w:t>
            </w:r>
            <w:r w:rsidR="00CB6B4F" w:rsidRPr="009346B9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335" w:type="dxa"/>
          </w:tcPr>
          <w:p w:rsidR="00CB6B4F" w:rsidRPr="001F4BA9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952852">
              <w:rPr>
                <w:rFonts w:ascii="Arial" w:hAnsi="Arial" w:cs="Arial"/>
                <w:sz w:val="21"/>
                <w:szCs w:val="21"/>
                <w:lang w:val="kk-KZ"/>
              </w:rPr>
              <w:t>(777</w:t>
            </w:r>
            <w:r w:rsidR="00B733A7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952852">
              <w:rPr>
                <w:rFonts w:ascii="Arial" w:hAnsi="Arial" w:cs="Arial"/>
                <w:sz w:val="21"/>
                <w:szCs w:val="21"/>
                <w:lang w:val="kk-KZ"/>
              </w:rPr>
              <w:t>33</w:t>
            </w:r>
            <w:r w:rsidR="00B733A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952852">
              <w:rPr>
                <w:rFonts w:ascii="Arial" w:hAnsi="Arial" w:cs="Arial"/>
                <w:sz w:val="21"/>
                <w:szCs w:val="21"/>
                <w:lang w:val="kk-KZ"/>
              </w:rPr>
              <w:t>40</w:t>
            </w:r>
            <w:r w:rsidR="00B733A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952852">
              <w:rPr>
                <w:rFonts w:ascii="Arial" w:hAnsi="Arial" w:cs="Arial"/>
                <w:sz w:val="21"/>
                <w:szCs w:val="21"/>
                <w:lang w:val="kk-KZ"/>
              </w:rPr>
              <w:t>596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51645B" w:rsidTr="00A76292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88" w:type="dxa"/>
          </w:tcPr>
          <w:p w:rsidR="00CB6B4F" w:rsidRPr="009346B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9346B9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CB6B4F" w:rsidRPr="0051645B" w:rsidRDefault="000F4B2D" w:rsidP="00CB6B4F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44</w:t>
            </w:r>
            <w:r w:rsidR="0051645B" w:rsidRPr="0051645B">
              <w:rPr>
                <w:rFonts w:ascii="Arial" w:hAnsi="Arial" w:cs="Arial"/>
                <w:sz w:val="21"/>
                <w:szCs w:val="21"/>
                <w:lang w:val="kk-KZ"/>
              </w:rPr>
              <w:t>_school_sch</w:t>
            </w:r>
            <w:r w:rsidR="0051645B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="0051645B">
              <w:rPr>
                <w:rFonts w:ascii="Arial" w:hAnsi="Arial" w:cs="Arial"/>
                <w:sz w:val="21"/>
                <w:szCs w:val="21"/>
                <w:lang w:val="en-US"/>
              </w:rPr>
              <w:t xml:space="preserve">mail </w:t>
            </w:r>
            <w:proofErr w:type="spellStart"/>
            <w:r w:rsidR="0051645B">
              <w:rPr>
                <w:rFonts w:ascii="Arial" w:hAnsi="Arial" w:cs="Arial"/>
                <w:sz w:val="21"/>
                <w:szCs w:val="21"/>
                <w:lang w:val="en-US"/>
              </w:rPr>
              <w:t>ru</w:t>
            </w:r>
            <w:proofErr w:type="spellEnd"/>
          </w:p>
        </w:tc>
      </w:tr>
      <w:tr w:rsidR="001F4BA9" w:rsidRPr="00697C95" w:rsidTr="00A76292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88" w:type="dxa"/>
          </w:tcPr>
          <w:p w:rsidR="008E7665" w:rsidRPr="00A76292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8E7665" w:rsidRPr="001F4BA9" w:rsidRDefault="000F4B2D" w:rsidP="00CB6B4F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Оқу-тәрбие </w:t>
            </w:r>
            <w:r w:rsidR="00B733A7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жұмысы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бойынша басшының орынбасары</w:t>
            </w:r>
            <w:r w:rsidR="00B733A7">
              <w:rPr>
                <w:rFonts w:ascii="Arial" w:hAnsi="Arial" w:cs="Arial"/>
                <w:bCs/>
                <w:sz w:val="21"/>
                <w:szCs w:val="21"/>
                <w:lang w:val="kk-KZ"/>
              </w:rPr>
              <w:t>,</w:t>
            </w:r>
            <w:r w:rsidR="008E7665" w:rsidRPr="001F4BA9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697C95" w:rsidTr="00A76292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88" w:type="dxa"/>
          </w:tcPr>
          <w:p w:rsidR="008E7665" w:rsidRPr="00A76292" w:rsidRDefault="00A76292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</w:t>
            </w:r>
            <w:r w:rsidR="008E7665"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егізгі функционалдық міндеттері</w:t>
            </w:r>
          </w:p>
        </w:tc>
        <w:tc>
          <w:tcPr>
            <w:tcW w:w="7335" w:type="dxa"/>
          </w:tcPr>
          <w:p w:rsidR="008E7665" w:rsidRPr="00A31758" w:rsidRDefault="008E398D" w:rsidP="00B733A7">
            <w:pPr>
              <w:rPr>
                <w:sz w:val="20"/>
                <w:szCs w:val="20"/>
                <w:lang w:val="kk-KZ"/>
              </w:rPr>
            </w:pPr>
            <w:r w:rsidRPr="008E398D">
              <w:rPr>
                <w:lang w:val="kk-KZ"/>
              </w:rPr>
              <w:t> </w:t>
            </w:r>
            <w:r w:rsidR="00A31758" w:rsidRPr="008203E5">
              <w:rPr>
                <w:rFonts w:ascii="Arial" w:hAnsi="Arial" w:cs="Arial"/>
                <w:sz w:val="20"/>
                <w:szCs w:val="20"/>
                <w:lang w:val="kk-KZ"/>
              </w:rPr>
              <w:t>Оқу-тәрбие үрдісін ұйымдастырады; оқу-тәрбие процесінің жағдайын, әлеуметтік-психологиялық және ғылыми-әдістемелік қамтамасыз етуді талдайды; педагогтердің мемлекеттік станарттарын, жұмыс оқу жоспарларын және бағдарламаларды орындау жұмыстарын, сондай-ақ құжаттамаларды әзірлеуді үйлестіреді; оқыту процесінің сапасын бақылауды және-де ағымдағы және қорытынды аттестаттаудың өткізілуін жүргізеді, пәндер бойынша мектепішілік бақылауды ұйымдастырады және іске асырады, білім кесінділерін өткізеді, мектепішілік бақылау, БЖБ және ТЖБ қорытындылары бойынша білім сапасына талдау жасайды; білім алушылар мен педагогтердің олимпиадаларға, сайыстарға қамтысуын ұйымдастырады; біліктілікті жоғарлату, квали</w:t>
            </w:r>
            <w:r w:rsidR="00B733A7">
              <w:rPr>
                <w:rFonts w:ascii="Arial" w:hAnsi="Arial" w:cs="Arial"/>
                <w:sz w:val="20"/>
                <w:szCs w:val="20"/>
                <w:lang w:val="kk-KZ"/>
              </w:rPr>
              <w:t>ф</w:t>
            </w:r>
            <w:r w:rsidR="00A31758" w:rsidRPr="008203E5">
              <w:rPr>
                <w:rFonts w:ascii="Arial" w:hAnsi="Arial" w:cs="Arial"/>
                <w:sz w:val="20"/>
                <w:szCs w:val="20"/>
                <w:lang w:val="kk-KZ"/>
              </w:rPr>
              <w:t xml:space="preserve">икациялық санаттарын тағайындау (растау) және тәлімгерлік жұмыстарын ұйымдастырады; педагогикалық кеңестердің күн тәртібі мен материалдарын дайындайды. </w:t>
            </w:r>
          </w:p>
        </w:tc>
      </w:tr>
      <w:tr w:rsidR="001F4BA9" w:rsidRPr="001F4BA9" w:rsidTr="00A76292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88" w:type="dxa"/>
          </w:tcPr>
          <w:p w:rsidR="008E7665" w:rsidRPr="00A76292" w:rsidRDefault="00A76292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Е</w:t>
            </w:r>
            <w:r w:rsidR="008E7665"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ңбекке ақы төлеу мөлшері мен шарттары</w:t>
            </w:r>
          </w:p>
        </w:tc>
        <w:tc>
          <w:tcPr>
            <w:tcW w:w="7335" w:type="dxa"/>
          </w:tcPr>
          <w:p w:rsidR="008E7665" w:rsidRPr="008069FB" w:rsidRDefault="008E7665" w:rsidP="00AC5698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F4BA9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F4BA9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F4BA9" w:rsidRDefault="008E7665" w:rsidP="006B2B82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0F4B2D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="008069FB">
              <w:rPr>
                <w:rFonts w:ascii="Arial" w:hAnsi="Arial" w:cs="Arial"/>
                <w:sz w:val="21"/>
                <w:szCs w:val="21"/>
                <w:lang w:val="kk-KZ"/>
              </w:rPr>
              <w:t>161 042</w:t>
            </w:r>
            <w:r w:rsidR="006B2B8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1F4BA9" w:rsidRPr="00B733A7" w:rsidTr="00A76292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88" w:type="dxa"/>
          </w:tcPr>
          <w:p w:rsidR="00B1578A" w:rsidRPr="00A76292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A76292" w:rsidRDefault="00B1578A" w:rsidP="00CB6B4F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853796" w:rsidRPr="00B733A7" w:rsidRDefault="00C75E82" w:rsidP="00853796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B733A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853796" w:rsidRPr="00B733A7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даярлауды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="00853796" w:rsidRPr="00B733A7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="00853796" w:rsidRPr="00B733A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1578A" w:rsidRPr="00B733A7" w:rsidRDefault="00853796" w:rsidP="00A76292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733A7">
              <w:rPr>
                <w:rFonts w:ascii="Arial" w:hAnsi="Arial" w:cs="Arial"/>
                <w:sz w:val="20"/>
                <w:szCs w:val="20"/>
              </w:rPr>
              <w:t xml:space="preserve">     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ұйымының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үшінші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санатты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басшысының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екінші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санатты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басшысының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Arial" w:hAnsi="Arial" w:cs="Arial"/>
                <w:sz w:val="20"/>
                <w:szCs w:val="20"/>
              </w:rPr>
              <w:t>інші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санатты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басшысының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санатының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не "педагог –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"педагог –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"педагог –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білікті</w:t>
            </w:r>
            <w:proofErr w:type="gramStart"/>
            <w:r w:rsidRPr="00B733A7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Arial" w:hAnsi="Arial" w:cs="Arial"/>
                <w:sz w:val="20"/>
                <w:szCs w:val="20"/>
              </w:rPr>
              <w:t>ігінің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4BA9" w:rsidRPr="001F4BA9" w:rsidTr="00A76292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88" w:type="dxa"/>
          </w:tcPr>
          <w:p w:rsidR="00B1578A" w:rsidRPr="00A76292" w:rsidRDefault="00B1578A" w:rsidP="00932150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A7629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B1578A" w:rsidRPr="001F4BA9" w:rsidRDefault="00B733A7" w:rsidP="00850E98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0F4B2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.12</w:t>
            </w:r>
            <w:r w:rsidR="00697C9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-20</w:t>
            </w:r>
            <w:r w:rsidR="000F4B2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.12</w:t>
            </w:r>
            <w:r w:rsidR="00932150" w:rsidRPr="001F4BA9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34BCF" w:rsidRPr="001F4BA9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1F4BA9" w:rsidRPr="00B733A7" w:rsidTr="00A76292">
        <w:tc>
          <w:tcPr>
            <w:tcW w:w="514" w:type="dxa"/>
            <w:tcBorders>
              <w:bottom w:val="single" w:sz="4" w:space="0" w:color="auto"/>
            </w:tcBorders>
          </w:tcPr>
          <w:p w:rsidR="00B1578A" w:rsidRPr="00B733A7" w:rsidRDefault="00B1578A" w:rsidP="00B1578A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3A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B1578A" w:rsidRPr="00B733A7" w:rsidRDefault="00B1578A" w:rsidP="00CB6B4F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733A7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520C9B" w:rsidRPr="00B733A7" w:rsidRDefault="00B733A7" w:rsidP="00B733A7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1) </w:t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осы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Қағидалардың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15-қосымшаға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сәйкес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нысан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қоса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берілетін</w:t>
            </w:r>
            <w:proofErr w:type="spell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құжаттардың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тізбесін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көрсете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отырып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Конкурсқа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қатысу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өтініш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басын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куәландыратын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сервисінен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алынған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электронды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(идентификация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кадрларды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есепке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алу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толтырылған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іс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парағы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нақты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тұ</w:t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ғылықты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мекенжайы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байланыс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телефондары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– бар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болса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Педагогтердің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үлгілік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сипаттамаларымен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бекітілген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лауазымға</w:t>
            </w:r>
            <w:proofErr w:type="spell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қойылатын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талаптарына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сәйкес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білімі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құжаттардың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көшірмелері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5) 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>Е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ңбек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құжаттың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көшірмесі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(бар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болса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6) "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Денсаулық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сақтау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саласындағы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есепке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алу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құжаттамасының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нысандарын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бекіту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Қазақстан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Республикасы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Денсаулық сақтау министрінің міндетін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атқарушының 2020 жылғы 30 қазандағы № Қ</w:t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ДСМ-175/2020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бұйрығымен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бекітілген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нысан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денсаулық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жағдайы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Нормативтік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құқықтық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актілерді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тіркеу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ті</w:t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зілімінде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№ 21579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болып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тіркелген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).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7)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психоневрологиялық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ұйымнан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8)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наркологиялық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ұйымнан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9)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сертификаттаудан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өту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сертификат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қолданыстағы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санатының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(бар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болса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);</w:t>
            </w:r>
            <w:proofErr w:type="gram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10)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ағылшын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тілі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педагогтері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лауазымына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орналасуға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кандидаттар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ән</w:t>
            </w:r>
            <w:proofErr w:type="spell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сертификаттау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сертификаты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Arial" w:hAnsi="Arial" w:cs="Arial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модератордың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сарапшының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зерттеушінің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шебердің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біліктілік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санатының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lastRenderedPageBreak/>
              <w:t>куәлік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(бар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болса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CELTA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Adults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Cambridge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 PASS A; DELTA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Diploma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Adults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Pass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above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айелтс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IELTS (IELTS) – 6,5 балл;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тойфл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TOEFL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іnternet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Test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іBT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)) сертификаты - 60-65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балл;</w:t>
            </w:r>
            <w:proofErr w:type="gram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11)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орта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білімнен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ұйымдарында</w:t>
            </w:r>
            <w:proofErr w:type="spell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арнайы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әндер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педагогтер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өндірістік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шеберлері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лауазымдарына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қызметке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кіріскен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тиісті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мамандық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бейін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өндірісте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педагогтер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сертификаттаудан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өтуден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босатылады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12) 16-қосымшаға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сәйкес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нысан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педагогтің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бос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уақытша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бос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лауазымына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кандидаттың толтырылған бағалау парағы.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13)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жоқ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кандидаттың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бейнепрезентациясы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өзі</w:t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н-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өзі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таныстыру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ұзақтығы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10 минут,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ең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төменгі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ажыратымдылығы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– 720 x 480</w:t>
            </w:r>
          </w:p>
        </w:tc>
      </w:tr>
    </w:tbl>
    <w:p w:rsidR="001F4BA9" w:rsidRDefault="001F4BA9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B733A7">
      <w:pPr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B733A7" w:rsidRPr="00B733A7" w:rsidRDefault="00B733A7" w:rsidP="00B733A7">
      <w:pPr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Қ</w:t>
      </w:r>
      <w:r w:rsidRPr="00B733A7">
        <w:rPr>
          <w:rFonts w:ascii="Arial" w:hAnsi="Arial" w:cs="Arial"/>
          <w:b/>
          <w:lang w:val="kk-KZ"/>
        </w:rPr>
        <w:t>осымша</w:t>
      </w:r>
      <w:r>
        <w:rPr>
          <w:rFonts w:ascii="Arial" w:hAnsi="Arial" w:cs="Arial"/>
          <w:b/>
          <w:lang w:val="kk-KZ"/>
        </w:rPr>
        <w:t>мен</w:t>
      </w:r>
      <w:r w:rsidRPr="00B733A7">
        <w:rPr>
          <w:rFonts w:ascii="Arial" w:hAnsi="Arial" w:cs="Arial"/>
          <w:b/>
          <w:lang w:val="kk-KZ"/>
        </w:rPr>
        <w:t xml:space="preserve"> </w:t>
      </w:r>
      <w:r>
        <w:rPr>
          <w:rFonts w:ascii="Arial" w:hAnsi="Arial" w:cs="Arial"/>
          <w:b/>
          <w:lang w:val="kk-KZ"/>
        </w:rPr>
        <w:t xml:space="preserve">берілген </w:t>
      </w:r>
      <w:r w:rsidRPr="00B733A7">
        <w:rPr>
          <w:rFonts w:ascii="Arial" w:hAnsi="Arial" w:cs="Arial"/>
          <w:b/>
          <w:lang w:val="kk-KZ"/>
        </w:rPr>
        <w:t>құжаттар нысандары</w:t>
      </w:r>
      <w:r>
        <w:rPr>
          <w:rFonts w:ascii="Arial" w:hAnsi="Arial" w:cs="Arial"/>
          <w:b/>
          <w:lang w:val="kk-KZ"/>
        </w:rPr>
        <w:t>ның тізбесі</w:t>
      </w:r>
    </w:p>
    <w:p w:rsidR="00B733A7" w:rsidRP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B733A7" w:rsidRPr="00B733A7" w:rsidRDefault="00B733A7" w:rsidP="00B733A7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outlineLvl w:val="2"/>
        <w:rPr>
          <w:rStyle w:val="fontstyle01"/>
          <w:rFonts w:ascii="Arial" w:hAnsi="Arial" w:cs="Arial"/>
          <w:b/>
          <w:color w:val="auto"/>
          <w:sz w:val="24"/>
          <w:szCs w:val="24"/>
          <w:lang w:val="kk-KZ"/>
        </w:rPr>
      </w:pPr>
      <w:r w:rsidRPr="00B733A7">
        <w:rPr>
          <w:rStyle w:val="fontstyle01"/>
          <w:rFonts w:ascii="Arial" w:hAnsi="Arial" w:cs="Arial"/>
          <w:sz w:val="24"/>
          <w:szCs w:val="24"/>
          <w:lang w:val="kk-KZ"/>
        </w:rPr>
        <w:t>Конкурсқа қатысу туралы өтініш</w:t>
      </w:r>
    </w:p>
    <w:p w:rsidR="00B733A7" w:rsidRPr="00B733A7" w:rsidRDefault="00B733A7" w:rsidP="00B733A7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outlineLvl w:val="2"/>
        <w:rPr>
          <w:rFonts w:ascii="Arial" w:hAnsi="Arial" w:cs="Arial"/>
          <w:b/>
          <w:sz w:val="24"/>
          <w:szCs w:val="24"/>
          <w:lang w:val="kk-KZ"/>
        </w:rPr>
      </w:pPr>
      <w:r w:rsidRPr="00B733A7">
        <w:rPr>
          <w:rStyle w:val="fontstyle01"/>
          <w:rFonts w:ascii="Arial" w:hAnsi="Arial" w:cs="Arial"/>
          <w:sz w:val="24"/>
          <w:szCs w:val="24"/>
          <w:lang w:val="kk-KZ"/>
        </w:rPr>
        <w:t>Педагогтің бос немесе уақытша бос лауазымына кандидаттың толтырылған бағалау парағы</w:t>
      </w: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Pr="00B733A7" w:rsidRDefault="00B733A7" w:rsidP="00B733A7">
      <w:pPr>
        <w:jc w:val="right"/>
        <w:rPr>
          <w:lang w:val="kk-KZ"/>
        </w:rPr>
      </w:pP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lastRenderedPageBreak/>
        <w:t>Мемлекеттік білім беру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ұйымдарының бірінші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басшылары мен педагогтерін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лауазымдарға тағайындау,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лауазымдардан босату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қағидаларына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15-қосымша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Нысан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____________________________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Конкурс жариялаған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мемлекеттік орган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(үміткердің Т.А.Ә. (бар болса)), ЖСН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_______________________________________________________________</w:t>
      </w:r>
      <w:r w:rsidRPr="00B733A7">
        <w:rPr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(лауазымы, жұмыс орны)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Нақты тұрғылықты жері, тіркелген мекен-жайы, байланыс телефоны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Өтініш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Мені бос/уақытша бос лауазымдық конкурсқа қатысуға рұқсат беруіңізді сұраймын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(қажетінің астын сызыңыз)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білім беру ұйымының атауы, мекен-жайы (облыс, аудан, қала\ауыл)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Қазіргі уақытта жұмыс істеймін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білім беру ұйымының атауы, мекен-жайы (облыс, аудан, қала\ауыл)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Өзім туралы келесіні хабарлаймын: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Білімі: жоғары немесе жоғары оқу орнынан кейін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60"/>
        <w:gridCol w:w="3075"/>
      </w:tblGrid>
      <w:tr w:rsidR="00B733A7" w:rsidRPr="00B733A7" w:rsidTr="00B733A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орнының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атауы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Оқыту кезеңі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Диплом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мамандық</w:t>
            </w:r>
            <w:proofErr w:type="spellEnd"/>
          </w:p>
        </w:tc>
      </w:tr>
    </w:tbl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  <w:r w:rsidRPr="00B733A7">
        <w:br/>
      </w:r>
      <w:proofErr w:type="spellStart"/>
      <w:r w:rsidRPr="00B733A7">
        <w:rPr>
          <w:rFonts w:ascii="TimesNewRomanPSMT" w:hAnsi="TimesNewRomanPSMT"/>
          <w:color w:val="000000"/>
          <w:sz w:val="28"/>
        </w:rPr>
        <w:t>Бі</w:t>
      </w:r>
      <w:proofErr w:type="gramStart"/>
      <w:r w:rsidRPr="00B733A7">
        <w:rPr>
          <w:rFonts w:ascii="TimesNewRomanPSMT" w:hAnsi="TimesNewRomanPSMT"/>
          <w:color w:val="000000"/>
          <w:sz w:val="28"/>
        </w:rPr>
        <w:t>л</w:t>
      </w:r>
      <w:proofErr w:type="gramEnd"/>
      <w:r w:rsidRPr="00B733A7">
        <w:rPr>
          <w:rFonts w:ascii="TimesNewRomanPSMT" w:hAnsi="TimesNewRomanPSMT"/>
          <w:color w:val="000000"/>
          <w:sz w:val="28"/>
        </w:rPr>
        <w:t>іктілік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санатының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болуы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(беру (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растау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)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күні</w:t>
      </w:r>
      <w:proofErr w:type="spellEnd"/>
      <w:r w:rsidRPr="00B733A7">
        <w:rPr>
          <w:rFonts w:ascii="TimesNewRomanPSMT" w:hAnsi="TimesNewRomanPSMT"/>
          <w:color w:val="000000"/>
          <w:sz w:val="28"/>
        </w:rPr>
        <w:t>):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B733A7">
        <w:rPr>
          <w:rFonts w:ascii="TimesNewRomanPSMT" w:hAnsi="TimesNewRomanPSMT"/>
          <w:color w:val="000000"/>
          <w:sz w:val="28"/>
        </w:rPr>
        <w:t>Педагогикалық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жұмыс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өтілі</w:t>
      </w:r>
      <w:proofErr w:type="spellEnd"/>
      <w:r w:rsidRPr="00B733A7">
        <w:rPr>
          <w:rFonts w:ascii="TimesNewRomanPSMT" w:hAnsi="TimesNewRomanPSMT"/>
          <w:color w:val="000000"/>
          <w:sz w:val="28"/>
        </w:rPr>
        <w:t>: 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B733A7">
        <w:rPr>
          <w:rFonts w:ascii="TimesNewRomanPSMT" w:hAnsi="TimesNewRomanPSMT"/>
          <w:color w:val="000000"/>
          <w:sz w:val="28"/>
        </w:rPr>
        <w:t>Келесі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жұмыс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нәтижелері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бар:___________________________________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B733A7">
        <w:rPr>
          <w:rFonts w:ascii="TimesNewRomanPSMT" w:hAnsi="TimesNewRomanPSMT"/>
          <w:color w:val="000000"/>
          <w:sz w:val="28"/>
        </w:rPr>
        <w:t>Наградалары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,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атақтары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,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дәрежесі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,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ғылыми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дәрежесі, ғылыми атағы, сондай-ақ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B733A7">
        <w:rPr>
          <w:rFonts w:ascii="TimesNewRomanPSMT" w:hAnsi="TimesNewRomanPSMT"/>
          <w:color w:val="000000"/>
          <w:sz w:val="28"/>
        </w:rPr>
        <w:t>қосымша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мәліметтер</w:t>
      </w:r>
      <w:proofErr w:type="spellEnd"/>
      <w:r w:rsidRPr="00B733A7">
        <w:rPr>
          <w:rFonts w:ascii="TimesNewRomanPSMT" w:hAnsi="TimesNewRomanPSMT"/>
          <w:color w:val="000000"/>
          <w:sz w:val="28"/>
        </w:rPr>
        <w:t xml:space="preserve"> (бар </w:t>
      </w:r>
      <w:proofErr w:type="spellStart"/>
      <w:r w:rsidRPr="00B733A7">
        <w:rPr>
          <w:rFonts w:ascii="TimesNewRomanPSMT" w:hAnsi="TimesNewRomanPSMT"/>
          <w:color w:val="000000"/>
          <w:sz w:val="28"/>
        </w:rPr>
        <w:t>болса</w:t>
      </w:r>
      <w:proofErr w:type="spellEnd"/>
      <w:r w:rsidRPr="00B733A7">
        <w:rPr>
          <w:rFonts w:ascii="TimesNewRomanPSMT" w:hAnsi="TimesNewRomanPSMT"/>
          <w:color w:val="000000"/>
          <w:sz w:val="28"/>
        </w:rPr>
        <w:t>)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Pr="00B733A7" w:rsidRDefault="00B733A7" w:rsidP="00B733A7">
      <w:pPr>
        <w:jc w:val="right"/>
        <w:rPr>
          <w:lang w:val="kk-KZ"/>
        </w:rPr>
      </w:pP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t>Мемлекеттік білім беру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ұйымдарының бірінші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басшылары мен педагогтерін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лауазымға тағайындау,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лауазымнан босату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Қағидаларына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16-қосымша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  <w:t>Нысан</w:t>
      </w:r>
      <w:r w:rsidRPr="00B733A7">
        <w:rPr>
          <w:rFonts w:ascii="TimesNewRomanPSMT" w:hAnsi="TimesNewRomanPSMT"/>
          <w:color w:val="000000"/>
          <w:sz w:val="20"/>
          <w:szCs w:val="20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Бос немесе уақытша бос педагог лауазымына үміткердің бағалау парағы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  <w:lang w:val="kk-KZ"/>
        </w:rPr>
        <w:br/>
      </w:r>
      <w:r w:rsidRPr="00B733A7">
        <w:rPr>
          <w:rFonts w:ascii="TimesNewRomanPSMT" w:hAnsi="TimesNewRomanPSMT"/>
          <w:color w:val="000000"/>
          <w:sz w:val="28"/>
          <w:lang w:val="kk-KZ"/>
        </w:rPr>
        <w:t>(Тегі, аты, әкесінің аты (бар болса))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0"/>
        <w:gridCol w:w="2295"/>
        <w:gridCol w:w="54"/>
        <w:gridCol w:w="2241"/>
        <w:gridCol w:w="27"/>
        <w:gridCol w:w="2271"/>
      </w:tblGrid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Өлшемшарттар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Растайтын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Балл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сандары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дейін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</w:t>
            </w:r>
          </w:p>
        </w:tc>
      </w:tr>
      <w:tr w:rsidR="00B733A7" w:rsidRPr="00B733A7" w:rsidTr="00B733A7">
        <w:trPr>
          <w:trHeight w:val="1634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імі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дипломға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Техникалық және 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әсіби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= 1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Жоғары күндізгі = 2 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қосымшаның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көшірмелері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Жоғары күндізгі үздік= 3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Магистр = 5 балл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3A7" w:rsidRPr="00B733A7" w:rsidRDefault="00B733A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3A7" w:rsidRPr="00B733A7" w:rsidRDefault="00B733A7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Ғылыми/академиялық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дәрежесі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қосымшаның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көшірмелері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PHD-доктор = 10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Ғылыми доктор = 10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Ғылыми кандидат = 10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өтілі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үм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іткерлер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үшін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Сертификат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"Педагог"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іктілік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санаты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- 5 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іктілік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санаты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Жеке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куәлік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бас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Екінші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санат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1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інші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санат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2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Жоғары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санат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3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Педагог-модератор = 3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сарапшы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5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зерттеуші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7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шебер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10 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Әкімшілі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және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әдістемелік қызметтегі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жұмыс тәжірибесі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Еңбек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кітапшасы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/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еңбек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қызметін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растайтын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бас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Әдіскер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лауазымдық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өтілі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кемінде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2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жыл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 = 1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лауазымдық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өтілі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кемінде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2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жыл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 = 3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директор (лауазымдық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өтілі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кемінде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2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жыл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 = 5 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Алғаш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рет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жұмысқа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тұ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педагогтер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үшін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імі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туралы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Педагогикалық/ кәсі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т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әжірибенің нәтижелері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"өте жақсы" = 1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"жақсы" = 0,5 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Бұрынғы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орнынан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(педагог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лауазымы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орнынан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ұсыныс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Ұсыныс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хат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Конкурсты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өз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бетінше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жариялаған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ұйымы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соңғы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жұмыс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/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орны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йым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/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мекемесіне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өтініш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жасайды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Оң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ұсыныс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хатының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болуы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3 балл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еріс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ұсыныс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хатының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болуы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минус 3 балл</w:t>
            </w:r>
          </w:p>
        </w:tc>
      </w:tr>
      <w:tr w:rsidR="00B733A7" w:rsidRPr="00B733A7" w:rsidTr="001E07D9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дипломдар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л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ғылыми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жобалар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жеңімпаздардың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к о н к у 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с т а р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0,5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ғылыми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жобалардың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1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 о н к у р с т а р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- 3 балл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</w:tr>
      <w:tr w:rsidR="001E07D9" w:rsidRPr="00B733A7" w:rsidTr="001E07D9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Кәсіби жеті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ст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іктерінің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көрсеткіштері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дипломдар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мұғалімнің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к о н к у 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с т а р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"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Үзді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педагог"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конкурсына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қатысушы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1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"Үздік педагог"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конкурсының жеңімпазы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= 5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"Қазақстан еңбек сіңірген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ұстазы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" медаль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иегері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10 балл</w:t>
            </w:r>
          </w:p>
        </w:tc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07D9" w:rsidRPr="00B733A7" w:rsidRDefault="001E07D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733A7" w:rsidRPr="00B733A7" w:rsidTr="001E07D9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Әдістемелік қызметі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авторлық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шығармалары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ОАМ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тізбесіне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енген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оқулықтар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ОӘК авторы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бірлескен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авторы = 5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РОӘК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тізбесіне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енген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оқулықтар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ОӘК авторы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бірлескен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авторы = 2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БССҚЕК,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Scopus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тізбесіне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қызметі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 о й ы н ш 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болуы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-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3 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Қоғамды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қ-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педагогикалық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қызметі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Қоғамды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қ-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қызметін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растайтын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тәлімгер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0,5 балл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ӘБ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басшылығы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2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Екі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тілде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сабақ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беру,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/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қазақ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2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шетел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/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немесе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шетел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/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қазақ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3 балл,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үш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тілде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сабақ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беру (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қазақ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орыс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шетел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) = 5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әндік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дайындық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цифрлық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КАЗТЕСТ,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IELTS;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TOEFL;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DELF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Goethe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Zertifikat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, "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Python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тілінде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н е г і з д е р і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оқыту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,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Microsoft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Курсера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жұмыстарына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оқыту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курстар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: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TEFL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Cambridge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"CELTA</w:t>
            </w:r>
          </w:p>
        </w:tc>
        <w:tc>
          <w:tcPr>
            <w:tcW w:w="2295" w:type="dxa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</w:tr>
      <w:tr w:rsidR="00B733A7" w:rsidRPr="00697C95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 дайындық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Pr>
              <w:rPr>
                <w:lang w:val="en-US"/>
              </w:rPr>
            </w:pP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(Certificate in 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to Speakers of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Other Languages)"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CELT-P (Certificate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Language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– Primary)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DELTA (Diploma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English to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Speakers of Other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Languages)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CELT-S (Certificate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Language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– Secondary)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""TKT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Knowledge Test"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Certificate in EMI Skills (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as a Medium of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Instruction)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Teacher of English to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Speakers of Other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Languages (TESOL)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"TESOL"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Certificate in 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for young learners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International House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Certificate in 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as a Foreign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Language (IHC)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IHCYLT - International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House Certificate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Young Learners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and Teenagers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Becoming a Better Teacher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: Exploring Professional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Development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Assessment for Learning: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Formative Assessment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Science and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Online Teaching for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Educators: Development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and Delivery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Educational Management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Key Ideas in Mentoring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Mathematics Teachers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платформе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learn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Mathematics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with Technology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Special Educational Needs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lastRenderedPageBreak/>
              <w:t>"Developing expertise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chemistry "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Pr>
              <w:rPr>
                <w:lang w:val="en-US"/>
              </w:rPr>
            </w:pP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ПШО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НЗМ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, "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Өрлеу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курстары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= 0,5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Қазақстан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ғылым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жылғы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28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қаңтардағы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№ 95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бұйрығына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сәйкес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тізбеге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арттыру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ұйымдары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іске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асыратын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беру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уәкілетті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органмен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келісілген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арттыру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курстары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құқықтық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актілерді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тіркеу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тізілімінде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№ 30068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болып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тіркелген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= 0,5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ә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қайсысы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жеке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733A7" w:rsidRPr="00B733A7" w:rsidTr="00B733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беру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гранты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алған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жоғары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және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жоғары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оқу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орнынан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кейінгі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беру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ұйымының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түлегі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,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Дипломмен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ауылға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!",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Серпін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бағдарламаларының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қатысушысы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, Жұмыспен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қамту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орталығы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жастар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тәжірибесі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бойынша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жіберілген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педагог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білім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беру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гранты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иегерінің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сертификаты,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3 балл қосылады</w:t>
            </w:r>
          </w:p>
        </w:tc>
      </w:tr>
      <w:tr w:rsidR="00B733A7" w:rsidRPr="00B733A7" w:rsidTr="00B733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Барлығы:</w:t>
            </w:r>
          </w:p>
        </w:tc>
        <w:tc>
          <w:tcPr>
            <w:tcW w:w="2409" w:type="dxa"/>
            <w:gridSpan w:val="3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</w:tr>
    </w:tbl>
    <w:p w:rsidR="00B733A7" w:rsidRDefault="00B733A7" w:rsidP="00A40329">
      <w:pPr>
        <w:jc w:val="center"/>
        <w:textAlignment w:val="baseline"/>
        <w:outlineLvl w:val="2"/>
      </w:pPr>
    </w:p>
    <w:p w:rsidR="00B733A7" w:rsidRDefault="00B733A7" w:rsidP="00A40329">
      <w:pPr>
        <w:jc w:val="center"/>
        <w:textAlignment w:val="baseline"/>
        <w:outlineLvl w:val="2"/>
      </w:pPr>
    </w:p>
    <w:p w:rsidR="00B733A7" w:rsidRDefault="00B733A7" w:rsidP="00A40329">
      <w:pPr>
        <w:jc w:val="center"/>
        <w:textAlignment w:val="baseline"/>
        <w:outlineLvl w:val="2"/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B733A7">
        <w:br/>
      </w: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B733A7" w:rsidRPr="00B733A7" w:rsidRDefault="00B733A7" w:rsidP="00A40329">
      <w:pPr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</w:p>
    <w:p w:rsidR="00A40329" w:rsidRDefault="00A76292" w:rsidP="00A40329">
      <w:pPr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С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</w:t>
      </w:r>
      <w:r w:rsidR="000F4B2D">
        <w:rPr>
          <w:rFonts w:ascii="Arial" w:hAnsi="Arial" w:cs="Arial"/>
          <w:b/>
          <w:sz w:val="21"/>
          <w:szCs w:val="21"/>
          <w:lang w:val="kk-KZ"/>
        </w:rPr>
        <w:t>№44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r w:rsidR="000F4B2D">
        <w:rPr>
          <w:rFonts w:ascii="Arial" w:hAnsi="Arial" w:cs="Arial"/>
          <w:b/>
          <w:sz w:val="21"/>
          <w:szCs w:val="21"/>
          <w:lang w:val="kk-KZ"/>
        </w:rPr>
        <w:t xml:space="preserve">вакантную </w:t>
      </w:r>
      <w:r w:rsidR="00A40329" w:rsidRPr="001F4BA9">
        <w:rPr>
          <w:rFonts w:ascii="Arial" w:hAnsi="Arial" w:cs="Arial"/>
          <w:b/>
          <w:sz w:val="21"/>
          <w:szCs w:val="21"/>
        </w:rPr>
        <w:t>должно</w:t>
      </w:r>
      <w:r w:rsidR="000F4B2D">
        <w:rPr>
          <w:rFonts w:ascii="Arial" w:hAnsi="Arial" w:cs="Arial"/>
          <w:b/>
          <w:sz w:val="21"/>
          <w:szCs w:val="21"/>
        </w:rPr>
        <w:t xml:space="preserve">сть </w:t>
      </w:r>
      <w:r w:rsidR="000F4B2D">
        <w:rPr>
          <w:rFonts w:ascii="Arial" w:hAnsi="Arial" w:cs="Arial"/>
          <w:b/>
          <w:sz w:val="21"/>
          <w:szCs w:val="21"/>
          <w:lang w:val="kk-KZ"/>
        </w:rPr>
        <w:t>заместитель директора по учебно-воспитательной работе</w:t>
      </w:r>
      <w:r w:rsidR="008D234C">
        <w:rPr>
          <w:rFonts w:ascii="Arial" w:hAnsi="Arial" w:cs="Arial"/>
          <w:b/>
          <w:sz w:val="21"/>
          <w:szCs w:val="21"/>
        </w:rPr>
        <w:t xml:space="preserve"> </w:t>
      </w:r>
    </w:p>
    <w:p w:rsidR="00AD2C6D" w:rsidRPr="001F4BA9" w:rsidRDefault="00AD2C6D" w:rsidP="00A40329">
      <w:pPr>
        <w:jc w:val="center"/>
        <w:textAlignment w:val="baseline"/>
        <w:outlineLvl w:val="2"/>
        <w:rPr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AD2C6D" w:rsidRDefault="00A40329" w:rsidP="00245AC0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AD2C6D" w:rsidRDefault="00A40329" w:rsidP="00E23E0F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</w:t>
            </w:r>
            <w:r w:rsidR="000F4B2D" w:rsidRPr="00AD2C6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едняя общеобразовательная школа №</w:t>
            </w:r>
            <w:r w:rsidR="00B733A7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0F4B2D" w:rsidRPr="00AD2C6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44</w:t>
            </w:r>
            <w:r w:rsidR="00C800AA" w:rsidRPr="00AD2C6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Pr="00AD2C6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AD2C6D" w:rsidRDefault="00A31758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7371" w:type="dxa"/>
          </w:tcPr>
          <w:p w:rsidR="00A40329" w:rsidRPr="00AD2C6D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D2C6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</w:t>
            </w:r>
            <w:r w:rsidR="00B6681B">
              <w:rPr>
                <w:rFonts w:ascii="Arial" w:hAnsi="Arial" w:cs="Arial"/>
                <w:sz w:val="20"/>
                <w:szCs w:val="20"/>
                <w:lang w:val="kk-KZ"/>
              </w:rPr>
              <w:t xml:space="preserve">улица </w:t>
            </w:r>
            <w:r w:rsidRPr="00AD2C6D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B6681B">
              <w:rPr>
                <w:rFonts w:ascii="Arial" w:hAnsi="Arial" w:cs="Arial"/>
                <w:sz w:val="20"/>
                <w:szCs w:val="20"/>
                <w:lang w:val="kk-KZ"/>
              </w:rPr>
              <w:t>Промышленная зона</w:t>
            </w:r>
            <w:r w:rsidRPr="00AD2C6D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0F4B2D" w:rsidRPr="00AD2C6D">
              <w:rPr>
                <w:rFonts w:ascii="Arial" w:hAnsi="Arial" w:cs="Arial"/>
                <w:sz w:val="20"/>
                <w:szCs w:val="20"/>
                <w:lang w:val="kk-KZ"/>
              </w:rPr>
              <w:t xml:space="preserve">Восточная, </w:t>
            </w:r>
            <w:r w:rsidR="00B6681B">
              <w:rPr>
                <w:rFonts w:ascii="Arial" w:hAnsi="Arial" w:cs="Arial"/>
                <w:sz w:val="20"/>
                <w:szCs w:val="20"/>
                <w:lang w:val="kk-KZ"/>
              </w:rPr>
              <w:t xml:space="preserve">строение </w:t>
            </w:r>
            <w:r w:rsidR="000F4B2D" w:rsidRPr="00AD2C6D">
              <w:rPr>
                <w:rFonts w:ascii="Arial" w:hAnsi="Arial" w:cs="Arial"/>
                <w:sz w:val="20"/>
                <w:szCs w:val="20"/>
                <w:lang w:val="kk-KZ"/>
              </w:rPr>
              <w:t>519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AD2C6D" w:rsidRDefault="00A31758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Номера</w:t>
            </w:r>
            <w:r w:rsidR="00A40329"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телефонов</w:t>
            </w:r>
          </w:p>
        </w:tc>
        <w:tc>
          <w:tcPr>
            <w:tcW w:w="7371" w:type="dxa"/>
          </w:tcPr>
          <w:p w:rsidR="00A40329" w:rsidRPr="00AD2C6D" w:rsidRDefault="00952852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 (777</w:t>
            </w:r>
            <w:r w:rsidR="00A40329" w:rsidRPr="00AD2C6D">
              <w:rPr>
                <w:rFonts w:ascii="Arial" w:hAnsi="Arial" w:cs="Arial"/>
                <w:sz w:val="20"/>
                <w:szCs w:val="20"/>
                <w:lang w:val="kk-KZ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3340596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AD2C6D" w:rsidRDefault="00A31758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</w:t>
            </w:r>
            <w:r w:rsidR="00A40329"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электронной почты</w:t>
            </w:r>
          </w:p>
        </w:tc>
        <w:tc>
          <w:tcPr>
            <w:tcW w:w="7371" w:type="dxa"/>
          </w:tcPr>
          <w:p w:rsidR="00A40329" w:rsidRPr="00B6681B" w:rsidRDefault="0051645B" w:rsidP="00245A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2C6D">
              <w:rPr>
                <w:rFonts w:ascii="Arial" w:hAnsi="Arial" w:cs="Arial"/>
                <w:sz w:val="20"/>
                <w:szCs w:val="20"/>
                <w:lang w:val="kk-KZ"/>
              </w:rPr>
              <w:t>44_school_sch@</w:t>
            </w:r>
            <w:r w:rsidRPr="00AD2C6D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B66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C6D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AD2C6D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D2C6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AD2C6D" w:rsidRDefault="000F4B2D" w:rsidP="003153C2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>Заместитель диретора по учебно</w:t>
            </w:r>
            <w:r w:rsidR="00FC4402"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>-воспитательной работе</w:t>
            </w:r>
            <w:r w:rsidR="00A40329"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="00FC4402" w:rsidRPr="00AD2C6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AD2C6D" w:rsidRDefault="00AD2C6D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A40329" w:rsidRPr="00AD2C6D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A40329" w:rsidRPr="00AD2C6D" w:rsidRDefault="00AD2C6D" w:rsidP="00AD2C6D">
            <w:pPr>
              <w:pStyle w:val="ab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sz w:val="20"/>
                <w:szCs w:val="20"/>
              </w:rPr>
              <w:t>О</w:t>
            </w:r>
            <w:r w:rsidR="00D11CEC" w:rsidRPr="00AD2C6D">
              <w:rPr>
                <w:rFonts w:ascii="Arial" w:hAnsi="Arial" w:cs="Arial"/>
                <w:sz w:val="20"/>
                <w:szCs w:val="20"/>
              </w:rPr>
              <w:t>рганизует учебно-воспитательный процесс;  анализирует состояние учебно-воспитательного процесса, научно-методического и социально-психологического обеспечения;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  <w:r w:rsidRPr="00AD2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CEC" w:rsidRPr="00AD2C6D">
              <w:rPr>
                <w:rFonts w:ascii="Arial" w:hAnsi="Arial" w:cs="Arial"/>
                <w:sz w:val="20"/>
                <w:szCs w:val="20"/>
              </w:rPr>
              <w:t xml:space="preserve">осуществляет </w:t>
            </w:r>
            <w:proofErr w:type="gramStart"/>
            <w:r w:rsidR="00D11CEC" w:rsidRPr="00AD2C6D"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 w:rsidR="00D11CEC" w:rsidRPr="00AD2C6D">
              <w:rPr>
                <w:rFonts w:ascii="Arial" w:hAnsi="Arial" w:cs="Arial"/>
                <w:sz w:val="20"/>
                <w:szCs w:val="20"/>
              </w:rPr>
              <w:t xml:space="preserve"> качеством образовательного</w:t>
            </w:r>
            <w:r w:rsidRPr="00AD2C6D">
              <w:rPr>
                <w:rFonts w:ascii="Arial" w:hAnsi="Arial" w:cs="Arial"/>
                <w:sz w:val="20"/>
                <w:szCs w:val="20"/>
              </w:rPr>
              <w:t xml:space="preserve"> процесса </w:t>
            </w:r>
            <w:r w:rsidR="00D11CEC" w:rsidRPr="00AD2C6D">
              <w:rPr>
                <w:rFonts w:ascii="Arial" w:hAnsi="Arial" w:cs="Arial"/>
                <w:sz w:val="20"/>
                <w:szCs w:val="20"/>
              </w:rPr>
              <w:t xml:space="preserve"> осуществляет работу по организации проведения текущей и итоговой аттестации; организовывает и осуществляет </w:t>
            </w:r>
            <w:proofErr w:type="spellStart"/>
            <w:r w:rsidR="00D11CEC" w:rsidRPr="00AD2C6D">
              <w:rPr>
                <w:rFonts w:ascii="Arial" w:hAnsi="Arial" w:cs="Arial"/>
                <w:sz w:val="20"/>
                <w:szCs w:val="20"/>
              </w:rPr>
              <w:t>внутришкольный</w:t>
            </w:r>
            <w:proofErr w:type="spellEnd"/>
            <w:r w:rsidR="00D11CEC" w:rsidRPr="00AD2C6D">
              <w:rPr>
                <w:rFonts w:ascii="Arial" w:hAnsi="Arial" w:cs="Arial"/>
                <w:sz w:val="20"/>
                <w:szCs w:val="20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="00D11CEC" w:rsidRPr="00AD2C6D">
              <w:rPr>
                <w:rFonts w:ascii="Arial" w:hAnsi="Arial" w:cs="Arial"/>
                <w:sz w:val="20"/>
                <w:szCs w:val="20"/>
              </w:rPr>
              <w:t>внут</w:t>
            </w:r>
            <w:r w:rsidRPr="00AD2C6D">
              <w:rPr>
                <w:rFonts w:ascii="Arial" w:hAnsi="Arial" w:cs="Arial"/>
                <w:sz w:val="20"/>
                <w:szCs w:val="20"/>
              </w:rPr>
              <w:t>ришкольного</w:t>
            </w:r>
            <w:proofErr w:type="spellEnd"/>
            <w:r w:rsidRPr="00AD2C6D">
              <w:rPr>
                <w:rFonts w:ascii="Arial" w:hAnsi="Arial" w:cs="Arial"/>
                <w:sz w:val="20"/>
                <w:szCs w:val="20"/>
              </w:rPr>
              <w:t xml:space="preserve"> контроля, СОР и </w:t>
            </w:r>
            <w:proofErr w:type="gramStart"/>
            <w:r w:rsidRPr="00AD2C6D">
              <w:rPr>
                <w:rFonts w:ascii="Arial" w:hAnsi="Arial" w:cs="Arial"/>
                <w:sz w:val="20"/>
                <w:szCs w:val="20"/>
              </w:rPr>
              <w:t>СОЧ</w:t>
            </w:r>
            <w:proofErr w:type="gramEnd"/>
            <w:r w:rsidRPr="00AD2C6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11CEC" w:rsidRPr="00AD2C6D">
              <w:rPr>
                <w:rFonts w:ascii="Arial" w:hAnsi="Arial" w:cs="Arial"/>
                <w:sz w:val="20"/>
                <w:szCs w:val="20"/>
              </w:rPr>
              <w:t>организует участие обучающихся и пед</w:t>
            </w:r>
            <w:r w:rsidRPr="00AD2C6D">
              <w:rPr>
                <w:rFonts w:ascii="Arial" w:hAnsi="Arial" w:cs="Arial"/>
                <w:sz w:val="20"/>
                <w:szCs w:val="20"/>
              </w:rPr>
              <w:t xml:space="preserve">агогов в олимпиадах, конкурсах; </w:t>
            </w:r>
            <w:r w:rsidR="00D11CEC" w:rsidRPr="00AD2C6D">
              <w:rPr>
                <w:rFonts w:ascii="Arial" w:hAnsi="Arial" w:cs="Arial"/>
                <w:sz w:val="20"/>
                <w:szCs w:val="20"/>
              </w:rPr>
              <w:t>организует работу по наставничеству, повышению квалификации и присвоению (подтверждению) квалификационных категорий; готовит повестку и м</w:t>
            </w:r>
            <w:r>
              <w:rPr>
                <w:rFonts w:ascii="Arial" w:hAnsi="Arial" w:cs="Arial"/>
                <w:sz w:val="20"/>
                <w:szCs w:val="20"/>
              </w:rPr>
              <w:t>атериалы педагогических советов.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AD2C6D" w:rsidRDefault="00AD2C6D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A40329" w:rsidRPr="00AD2C6D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A40329" w:rsidRPr="00AD2C6D" w:rsidRDefault="00A40329" w:rsidP="00245AC0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AD2C6D" w:rsidRDefault="003D1C78" w:rsidP="00DB2E41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8069FB" w:rsidRPr="00AD2C6D">
              <w:rPr>
                <w:rFonts w:ascii="Arial" w:hAnsi="Arial" w:cs="Arial"/>
                <w:bCs/>
                <w:sz w:val="20"/>
                <w:szCs w:val="20"/>
              </w:rPr>
              <w:t>161</w:t>
            </w:r>
            <w:r w:rsidR="008069FB"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8069FB" w:rsidRPr="00AD2C6D">
              <w:rPr>
                <w:rFonts w:ascii="Arial" w:hAnsi="Arial" w:cs="Arial"/>
                <w:bCs/>
                <w:sz w:val="20"/>
                <w:szCs w:val="20"/>
              </w:rPr>
              <w:t>042</w:t>
            </w:r>
            <w:r w:rsidR="006B2B82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 </w:t>
            </w:r>
            <w:r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A40329" w:rsidRPr="00AD2C6D">
              <w:rPr>
                <w:rFonts w:ascii="Arial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AD2C6D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D2C6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AD2C6D" w:rsidRDefault="00A40329" w:rsidP="00245AC0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AD2C6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D1C78" w:rsidRPr="00AD2C6D" w:rsidRDefault="00A40329" w:rsidP="003D1C78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AD2C6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3D1C78" w:rsidRPr="00AD2C6D">
              <w:rPr>
                <w:rFonts w:ascii="Arial" w:hAnsi="Arial" w:cs="Arial"/>
                <w:sz w:val="20"/>
                <w:szCs w:val="20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A40329" w:rsidRPr="00AD2C6D" w:rsidRDefault="003D1C78" w:rsidP="00AD2C6D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sz w:val="20"/>
                <w:szCs w:val="20"/>
              </w:rPr>
              <w:t xml:space="preserve">      </w:t>
            </w:r>
            <w:proofErr w:type="gramStart"/>
            <w:r w:rsidRPr="00AD2C6D">
              <w:rPr>
                <w:rFonts w:ascii="Arial" w:hAnsi="Arial" w:cs="Arial"/>
                <w:sz w:val="20"/>
                <w:szCs w:val="2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AD2C6D" w:rsidRDefault="008D234C" w:rsidP="00266BEF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AD2C6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AD2C6D" w:rsidRDefault="008069FB" w:rsidP="00697C95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AD2C6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12.12-</w:t>
            </w:r>
            <w:r w:rsidR="00697C95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20</w:t>
            </w:r>
            <w:bookmarkStart w:id="0" w:name="_GoBack"/>
            <w:bookmarkEnd w:id="0"/>
            <w:r w:rsidR="00161416" w:rsidRPr="00AD2C6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.12</w:t>
            </w:r>
            <w:r w:rsidR="008D234C" w:rsidRPr="00AD2C6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8D234C" w:rsidRPr="00B733A7" w:rsidTr="008D234C">
        <w:tc>
          <w:tcPr>
            <w:tcW w:w="392" w:type="dxa"/>
          </w:tcPr>
          <w:p w:rsidR="008D234C" w:rsidRPr="00B733A7" w:rsidRDefault="008D234C" w:rsidP="008D234C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3A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D234C" w:rsidRPr="00B733A7" w:rsidRDefault="008D234C" w:rsidP="00245AC0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733A7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733A7" w:rsidRDefault="00B733A7" w:rsidP="00B733A7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по форме согласно приложению 15 к настоящим Правилам;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2) документ, удостоверяющий личность либо электронный документ из сервиса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цифровых документов (для идентификации);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3) заполненный личный листок по учету кадров (с указанием адреса фактического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места жительства и контактных телефонов – при наличии);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4) копии документов об образовании в соответствии с предъявляемыми к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должности квалификационными требованиями, утвержденными Типовыми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квалификационными характеристиками педагогов;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6) справку о состоянии здоровья по форме, утвержденной приказом исполняющего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обязанности Министра здравоохранения Республики Казахстан от 30 октября 2020 года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№ Қ</w:t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здравоохранения" (зарегистрирован в Реестре государственной регистрации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нормативных правовых актов под № 21579);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7) справку с психоневрологической организации;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8) справку с наркологической организации;</w:t>
            </w:r>
            <w:r w:rsidRPr="00B733A7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9) сертификат о результатах прохождения сертификации или удостоверение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наличии действующей квалификационной категории (при наличии);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 результатах сертификации по предмету или удостоверение о наличии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квалификационной категории педагога-модератора или педагога-эксперта,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и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ли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педагога-исследователя, или педагога-мастера (при наличии) или сертификат CELTA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Adults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Cambridge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 PASS A; DELTA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Diploma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Adults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Pass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above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, или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айелтс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(IELTS) – 6,5 баллов;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или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тойфл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(TOEFL)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іnternet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Test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іBT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)) – 60 – 65 баллов;</w:t>
            </w:r>
            <w:proofErr w:type="gramEnd"/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11) педагоги, приступившие к педагогической деятельности в организации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технического и профессионального,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послесреднего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образования на должности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педагогов по специальным дисциплинам и мастеров производственного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обучения,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имеющие стаж работы на производстве по соответствующей специальности или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профилю не менее двух лет освобождаются от прохождения сертификации.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12) заполненный Оценочный лист кандидата на вакантную или временно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вакантную должность педагога по форме согласно приложению 16.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13) </w:t>
            </w:r>
            <w:proofErr w:type="spell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видеопрезентация</w:t>
            </w:r>
            <w:proofErr w:type="spellEnd"/>
            <w:proofErr w:type="gram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самопрезентация</w:t>
            </w:r>
            <w:proofErr w:type="spellEnd"/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) для кандидата без стажа</w:t>
            </w:r>
            <w:r w:rsidRPr="00B733A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733A7">
              <w:rPr>
                <w:rStyle w:val="fontstyle01"/>
                <w:rFonts w:ascii="Arial" w:hAnsi="Arial" w:cs="Arial"/>
                <w:sz w:val="20"/>
                <w:szCs w:val="20"/>
              </w:rPr>
              <w:t>продолжительностью не менее 10 минут, с минимальным разрешением – 720 x 480</w:t>
            </w:r>
            <w:proofErr w:type="gramEnd"/>
          </w:p>
        </w:tc>
      </w:tr>
    </w:tbl>
    <w:p w:rsidR="00F24D9F" w:rsidRDefault="00F24D9F" w:rsidP="001F4BA9">
      <w:pPr>
        <w:jc w:val="both"/>
        <w:rPr>
          <w:rFonts w:ascii="Arial" w:hAnsi="Arial" w:cs="Arial"/>
          <w:sz w:val="20"/>
          <w:szCs w:val="20"/>
          <w:lang w:val="kk-KZ"/>
        </w:rPr>
      </w:pPr>
    </w:p>
    <w:p w:rsidR="00B733A7" w:rsidRDefault="00B733A7" w:rsidP="001F4BA9">
      <w:pPr>
        <w:jc w:val="both"/>
        <w:rPr>
          <w:rFonts w:ascii="Arial" w:hAnsi="Arial" w:cs="Arial"/>
          <w:sz w:val="20"/>
          <w:szCs w:val="20"/>
          <w:lang w:val="kk-KZ"/>
        </w:rPr>
      </w:pPr>
    </w:p>
    <w:p w:rsidR="00B733A7" w:rsidRDefault="00B733A7" w:rsidP="00B733A7">
      <w:pPr>
        <w:jc w:val="center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Перечень прилагаемых  образцов документов </w:t>
      </w:r>
    </w:p>
    <w:p w:rsidR="00B733A7" w:rsidRPr="00B733A7" w:rsidRDefault="00B733A7" w:rsidP="00B733A7">
      <w:pPr>
        <w:pStyle w:val="a7"/>
        <w:numPr>
          <w:ilvl w:val="0"/>
          <w:numId w:val="8"/>
        </w:numPr>
        <w:spacing w:after="0"/>
        <w:jc w:val="both"/>
        <w:rPr>
          <w:rStyle w:val="fontstyle01"/>
          <w:rFonts w:ascii="Arial" w:hAnsi="Arial" w:cs="Arial"/>
          <w:color w:val="auto"/>
          <w:sz w:val="24"/>
          <w:szCs w:val="24"/>
          <w:lang w:val="kk-KZ"/>
        </w:rPr>
      </w:pPr>
      <w:r>
        <w:rPr>
          <w:rStyle w:val="fontstyle01"/>
          <w:rFonts w:ascii="Arial" w:hAnsi="Arial" w:cs="Arial"/>
          <w:sz w:val="24"/>
          <w:szCs w:val="24"/>
          <w:lang w:val="kk-KZ"/>
        </w:rPr>
        <w:t>З</w:t>
      </w:r>
      <w:proofErr w:type="spellStart"/>
      <w:r w:rsidRPr="00B733A7">
        <w:rPr>
          <w:rStyle w:val="fontstyle01"/>
          <w:rFonts w:ascii="Arial" w:hAnsi="Arial" w:cs="Arial"/>
          <w:sz w:val="24"/>
          <w:szCs w:val="24"/>
        </w:rPr>
        <w:t>аявление</w:t>
      </w:r>
      <w:proofErr w:type="spellEnd"/>
      <w:r w:rsidRPr="00B733A7">
        <w:rPr>
          <w:rStyle w:val="fontstyle01"/>
          <w:rFonts w:ascii="Arial" w:hAnsi="Arial" w:cs="Arial"/>
          <w:sz w:val="24"/>
          <w:szCs w:val="24"/>
        </w:rPr>
        <w:t xml:space="preserve"> об участии в конкурсе</w:t>
      </w:r>
      <w:r>
        <w:rPr>
          <w:rStyle w:val="fontstyle01"/>
          <w:rFonts w:ascii="Arial" w:hAnsi="Arial" w:cs="Arial"/>
          <w:sz w:val="24"/>
          <w:szCs w:val="24"/>
          <w:lang w:val="kk-KZ"/>
        </w:rPr>
        <w:t>.</w:t>
      </w:r>
    </w:p>
    <w:p w:rsidR="00B733A7" w:rsidRPr="00B733A7" w:rsidRDefault="00B733A7" w:rsidP="00B733A7">
      <w:pPr>
        <w:pStyle w:val="a7"/>
        <w:numPr>
          <w:ilvl w:val="0"/>
          <w:numId w:val="8"/>
        </w:numPr>
        <w:spacing w:after="0"/>
        <w:jc w:val="both"/>
        <w:rPr>
          <w:rStyle w:val="fontstyle01"/>
          <w:rFonts w:ascii="Arial" w:hAnsi="Arial" w:cs="Arial"/>
          <w:color w:val="auto"/>
          <w:sz w:val="24"/>
          <w:szCs w:val="24"/>
          <w:lang w:val="kk-KZ"/>
        </w:rPr>
      </w:pPr>
      <w:r w:rsidRPr="00B733A7">
        <w:rPr>
          <w:rStyle w:val="fontstyle01"/>
          <w:rFonts w:ascii="Arial" w:hAnsi="Arial" w:cs="Arial"/>
          <w:sz w:val="24"/>
          <w:szCs w:val="24"/>
        </w:rPr>
        <w:t>Оценочный лист кандидата на вакантную или временно</w:t>
      </w:r>
      <w:r w:rsidRPr="00B733A7">
        <w:rPr>
          <w:rFonts w:ascii="Arial" w:hAnsi="Arial" w:cs="Arial"/>
          <w:color w:val="000000"/>
          <w:sz w:val="24"/>
          <w:szCs w:val="24"/>
        </w:rPr>
        <w:br/>
      </w:r>
      <w:r w:rsidRPr="00B733A7">
        <w:rPr>
          <w:rStyle w:val="fontstyle01"/>
          <w:rFonts w:ascii="Arial" w:hAnsi="Arial" w:cs="Arial"/>
          <w:sz w:val="24"/>
          <w:szCs w:val="24"/>
        </w:rPr>
        <w:t>вакантную должность педагога</w:t>
      </w:r>
      <w:r>
        <w:rPr>
          <w:rStyle w:val="fontstyle01"/>
          <w:rFonts w:ascii="Arial" w:hAnsi="Arial" w:cs="Arial"/>
          <w:sz w:val="24"/>
          <w:szCs w:val="24"/>
          <w:lang w:val="kk-KZ"/>
        </w:rPr>
        <w:t>.</w:t>
      </w: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Pr="00B733A7" w:rsidRDefault="00B733A7" w:rsidP="00B733A7">
      <w:pPr>
        <w:jc w:val="right"/>
      </w:pPr>
      <w:proofErr w:type="gramStart"/>
      <w:r w:rsidRPr="00B733A7">
        <w:rPr>
          <w:rFonts w:ascii="TimesNewRomanPSMT" w:hAnsi="TimesNewRomanPSMT"/>
          <w:color w:val="000000"/>
          <w:sz w:val="20"/>
          <w:szCs w:val="20"/>
        </w:rPr>
        <w:lastRenderedPageBreak/>
        <w:t>Приложение 15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к Правилам назначения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на должности, освобождения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от должностей первых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руководителей и педагогов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государственных организаций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образования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Форма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_________________________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государственный орган,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объявивший конкурс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Ф.И.О. кандидата (при его наличии), ИИН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(должность, место работы)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Фактическое место проживания, адрес прописки, контактный телефон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Заявление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Прошу допустить меня к конкурсу на занятие вакантной/временно вакантной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должности (нужное подчеркнуть)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наименование организаций образования, адрес (область, район</w:t>
      </w:r>
      <w:proofErr w:type="gramEnd"/>
      <w:r w:rsidRPr="00B733A7">
        <w:rPr>
          <w:rFonts w:ascii="TimesNewRomanPSMT" w:hAnsi="TimesNewRomanPSMT"/>
          <w:color w:val="000000"/>
          <w:sz w:val="28"/>
        </w:rPr>
        <w:t>, город\село)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В настоящее время работаю 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должность, наименование организации, адрес (область, район, город\село)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Сообщаю о себе следующие сведения: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Образование: высшее или послевузовское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60"/>
        <w:gridCol w:w="3075"/>
      </w:tblGrid>
      <w:tr w:rsidR="00B733A7" w:rsidRPr="00B733A7" w:rsidTr="00B733A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Наименование учебного заведения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Период обучения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</w:tbl>
    <w:p w:rsidR="00B733A7" w:rsidRDefault="00B733A7" w:rsidP="00B733A7">
      <w:pPr>
        <w:rPr>
          <w:rFonts w:ascii="TimesNewRomanPSMT" w:hAnsi="TimesNewRomanPSMT"/>
          <w:color w:val="000000"/>
          <w:sz w:val="20"/>
          <w:szCs w:val="20"/>
          <w:lang w:val="kk-KZ"/>
        </w:rPr>
      </w:pPr>
      <w:r w:rsidRPr="00B733A7">
        <w:br/>
      </w:r>
      <w:r w:rsidRPr="00B733A7">
        <w:rPr>
          <w:rFonts w:ascii="TimesNewRomanPSMT" w:hAnsi="TimesNewRomanPSMT"/>
          <w:color w:val="000000"/>
          <w:sz w:val="28"/>
        </w:rPr>
        <w:t>Наличие квалификационной категории (дата присвоения (подтверждения)):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_________________________________________________________________</w:t>
      </w:r>
      <w:r w:rsidRPr="00B733A7">
        <w:br/>
      </w:r>
      <w:r w:rsidRPr="00B733A7">
        <w:rPr>
          <w:rFonts w:ascii="TimesNewRomanPSMT" w:hAnsi="TimesNewRomanPSMT"/>
          <w:color w:val="000000"/>
          <w:sz w:val="28"/>
        </w:rPr>
        <w:t>Стаж педагогической работы: 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Имею следующие результаты работы: 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Награды, звания, степень, ученая степень, ученое звание,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а также дополнительные сведения (при наличии)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  <w:r w:rsidRPr="00B733A7">
        <w:rPr>
          <w:rFonts w:ascii="TimesNewRomanPSMT" w:hAnsi="TimesNewRomanPSMT"/>
          <w:color w:val="000000"/>
          <w:sz w:val="20"/>
          <w:szCs w:val="20"/>
        </w:rPr>
        <w:lastRenderedPageBreak/>
        <w:t>Приложение 16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к Правилам назначения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на должности, освобождения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от должностей первых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руководителей и педагогов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государственных организаций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образования</w:t>
      </w:r>
      <w:r w:rsidRPr="00B733A7">
        <w:rPr>
          <w:rFonts w:ascii="TimesNewRomanPSMT" w:hAnsi="TimesNewRomanPSMT"/>
          <w:color w:val="000000"/>
          <w:sz w:val="20"/>
          <w:szCs w:val="20"/>
        </w:rPr>
        <w:br/>
        <w:t>Форма</w:t>
      </w: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Default="00B733A7" w:rsidP="00B733A7">
      <w:pPr>
        <w:jc w:val="right"/>
        <w:rPr>
          <w:rFonts w:ascii="TimesNewRomanPSMT" w:hAnsi="TimesNewRomanPSMT"/>
          <w:color w:val="000000"/>
          <w:sz w:val="20"/>
          <w:szCs w:val="20"/>
          <w:lang w:val="kk-KZ"/>
        </w:rPr>
      </w:pPr>
    </w:p>
    <w:p w:rsidR="00B733A7" w:rsidRPr="00B733A7" w:rsidRDefault="00B733A7" w:rsidP="00B733A7">
      <w:pPr>
        <w:jc w:val="right"/>
      </w:pPr>
      <w:r w:rsidRPr="00B733A7">
        <w:rPr>
          <w:rFonts w:ascii="TimesNewRomanPSMT" w:hAnsi="TimesNewRomanPSMT"/>
          <w:color w:val="000000"/>
          <w:sz w:val="20"/>
          <w:szCs w:val="20"/>
        </w:rPr>
        <w:br/>
      </w:r>
      <w:r w:rsidRPr="00B733A7">
        <w:rPr>
          <w:rFonts w:ascii="TimesNewRomanPSMT" w:hAnsi="TimesNewRomanPSMT"/>
          <w:color w:val="000000"/>
          <w:sz w:val="28"/>
        </w:rPr>
        <w:t>Оценочный лист кандидата на вакантную или временно вакантную должность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педагога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_________________________________________________________________</w:t>
      </w:r>
      <w:r w:rsidRPr="00B733A7">
        <w:rPr>
          <w:rFonts w:ascii="TimesNewRomanPSMT" w:hAnsi="TimesNewRomanPSMT"/>
          <w:color w:val="000000"/>
          <w:sz w:val="28"/>
          <w:szCs w:val="28"/>
        </w:rPr>
        <w:br/>
      </w:r>
      <w:r w:rsidRPr="00B733A7">
        <w:rPr>
          <w:rFonts w:ascii="TimesNewRomanPSMT" w:hAnsi="TimesNewRomanPSMT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0"/>
        <w:gridCol w:w="2295"/>
        <w:gridCol w:w="2298"/>
        <w:gridCol w:w="24"/>
        <w:gridCol w:w="2258"/>
        <w:gridCol w:w="13"/>
        <w:gridCol w:w="32"/>
      </w:tblGrid>
      <w:tr w:rsidR="00B733A7" w:rsidRPr="00B733A7" w:rsidTr="00B733A7">
        <w:trPr>
          <w:gridAfter w:val="1"/>
          <w:wAfter w:w="32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Критерии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Подтверждающий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документ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Кол-во 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(от 1 до 20)</w:t>
            </w: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Копии диплома об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образовании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приложения к диплому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профессиональное = 1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Высшее очное = 2 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Высшее очное с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отличием = 3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Магистр = 5 баллов</w:t>
            </w: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Ученая/академическая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степень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Копии диплома об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образовании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приложения к диплому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PHD-доктор = 10 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Доктор наук = 10 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Кандидат наук = 10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баллов</w:t>
            </w: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Результаты прохождения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сертификации для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кандидатов без стажа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квалификационная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категория "педагог" плюс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5 баллов</w:t>
            </w: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Квалификационная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категория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Удостоверение, иной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документ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2 категория = 1 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1 категория = 2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Высшая категория = 3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Педагог-модератор = 3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Педагог-эксперт = 5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Педагог-исследователь =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7 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Педагог-мастер = 10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баллов</w:t>
            </w: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Методист (стаж 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должности не менее 2 лет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) = 1 балл</w:t>
            </w:r>
          </w:p>
        </w:tc>
        <w:tc>
          <w:tcPr>
            <w:tcW w:w="2295" w:type="dxa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Опыт административной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и методической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трудовая книжка/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документ, заменяющий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трудовую деятельность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заместитель директора (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стаж в должности не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менее 2 лет) = 3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директор (стаж 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должности не менее 2 лет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) = 5 баллов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Для педагогов, впервые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поступающих на работу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Приложение к диплому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 образовании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е з у л ь т а т 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педагогической/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профессиональной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практики "отлично" = 1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"хорошо" = 0,5 балла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Рекомендательное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письмо с предыдущего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места работы (по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должности педагога) или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учебы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Рекомендательное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письмо (организация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образования, объявившая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конкурс самостоятельно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делает запрос 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организацию/учебное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заведение по последнему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месту работы/учебы)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Наличие положительного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рекомендательного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письма = 3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 е г а т и в н о 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рекомендательное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письмо = минус 3 баллов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о к а з а т е л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профессиональных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достижений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- дипломы, грамоты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победителей олимпиад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конкурсов, научных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проектов обучающихся;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- дипломы, грамоты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победителей олимпиад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конкурсов учителя;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- государственная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награда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призеры олимпиад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конкурсов = 0,5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научных проектов = 1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призеры олимпиад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конкурсов = 3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участник конкурса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Лучший педагог" = 1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призер конкурса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Лучший педагог" = 5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обладатель медали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Қазақстан еңбек сіңірген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ұстазы" = 10 баллов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Методическая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деятельность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-авторские работы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публикации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автор или соавтор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учебников и (или) УМК,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включенных в перечень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МП РК = 5 баллов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автор или соавтор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учебников и (или) УМК,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включенных в перечень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РУМС = 2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наличие публикации по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научно-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исследовательско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й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деятельности,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включенный в перечень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КОКСО,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Scopus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наставник = 0,5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руководство МО = 2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балла</w:t>
            </w:r>
          </w:p>
        </w:tc>
        <w:tc>
          <w:tcPr>
            <w:tcW w:w="2295" w:type="dxa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Общественно-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педагогиче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ская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Д о к у м е н т</w:t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подтверждающий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общественно-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педагогиче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скую деятельность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преподавание на 2 языках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, русский/казахский = 2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иностранный/русский,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иностранный/казахский)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= 3 балла,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преподавание на 3 языках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(казахский, русский,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иностранный) = 5 баллов</w:t>
            </w:r>
          </w:p>
        </w:tc>
      </w:tr>
      <w:tr w:rsidR="00B733A7" w:rsidRPr="00B733A7" w:rsidTr="00B733A7"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Pr>
              <w:rPr>
                <w:lang w:val="en-US"/>
              </w:rPr>
            </w:pP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-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предметной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подготовки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-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цифровую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грамотность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КАЗТЕСТ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IELTS;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lastRenderedPageBreak/>
              <w:t>TOEFL;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DELF;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Zertifikat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обучение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программам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"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программирования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Python",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Обучение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работе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Microsoft"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Курсера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Международные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: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TEFL Cambridge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"CELTA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(Certificate in 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to Speakers of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Other Languages)"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CELT-P (Certificate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Language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– Primary)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DELTA (Diploma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English to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Speakers of Other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Languages)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CELT-S (Certificate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Language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– Secondary)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"TKT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Knowledge Test"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Certificate in EMI Skills (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as a Medium of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Instruction)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Teacher of English to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Speakers of Other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Languages (TESOL)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"TESOL"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Certificate in 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for young learners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курсы ЦПМ НИШ, 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Өрлеу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"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= 0,5 балла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курсы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</w:t>
            </w:r>
            <w:proofErr w:type="gram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о в ы ш е н и 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квалификации по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программам,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согласованным с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уполномоченным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органом в области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образования,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реализуемым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организациями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 о в ы ш е н и 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квалификации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включенных в список 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соответствии с приказом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Министра образования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науки Республики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Казахстан от 28 января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2016 года № 95 (</w:t>
            </w:r>
          </w:p>
        </w:tc>
      </w:tr>
      <w:tr w:rsidR="00B733A7" w:rsidRPr="00B733A7" w:rsidTr="00B733A7">
        <w:trPr>
          <w:gridAfter w:val="2"/>
          <w:wAfter w:w="4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733A7" w:rsidRPr="00B733A7" w:rsidRDefault="00B733A7" w:rsidP="00B733A7">
            <w:pPr>
              <w:rPr>
                <w:lang w:val="en-US"/>
              </w:rPr>
            </w:pP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lastRenderedPageBreak/>
              <w:t>International House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Certificate in 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English as a Foreign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Language (IHC)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IHCYLT - International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House Certificate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Young Learners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and Teenagers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Becoming a Better Teacher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: Exploring Professional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Development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Assessment for Learning: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Formative Assessment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 xml:space="preserve">Science and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Online Teaching for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Educators: Development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and Delivery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Educational Management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Key Ideas in Mentoring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lastRenderedPageBreak/>
              <w:t>Mathematics Teachers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Курсы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на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платформе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 xml:space="preserve"> learn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Mathematics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with Technology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Special Educational Needs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"Developing expertise in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teaching chemistry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br/>
              <w:t>"</w:t>
            </w:r>
          </w:p>
        </w:tc>
        <w:tc>
          <w:tcPr>
            <w:tcW w:w="2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зарегистрирован 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Реестре государственной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регистрации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нормативных правовых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актов под № 30068)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= 0,5 балла (каждый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отдельно)</w:t>
            </w:r>
          </w:p>
        </w:tc>
        <w:tc>
          <w:tcPr>
            <w:tcW w:w="229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B733A7" w:rsidRPr="00B733A7" w:rsidRDefault="00B733A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B733A7" w:rsidRPr="00B733A7" w:rsidRDefault="00B733A7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proofErr w:type="gram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Выпускник организации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 ы с ш е г о 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послевузовского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образования,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обучившийся по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государственному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образовательному гранту,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у ч а с т н и к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государственной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программ "С дипломом в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село!", "</w:t>
            </w:r>
            <w:proofErr w:type="spellStart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Серпiн</w:t>
            </w:r>
            <w:proofErr w:type="spellEnd"/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", педагог,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направленный по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молодежной практике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Центром занятости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населения</w:t>
            </w:r>
            <w:proofErr w:type="gramEnd"/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Сертификат обладателя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государственного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образовательного гранта,</w:t>
            </w:r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договор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плюс 3 балла</w:t>
            </w:r>
          </w:p>
        </w:tc>
      </w:tr>
      <w:tr w:rsidR="00B733A7" w:rsidRPr="00B733A7" w:rsidTr="00B733A7">
        <w:trPr>
          <w:gridAfter w:val="1"/>
          <w:wAfter w:w="3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A7" w:rsidRPr="00B733A7" w:rsidRDefault="00B733A7" w:rsidP="00B733A7">
            <w:r w:rsidRPr="00B733A7">
              <w:rPr>
                <w:rFonts w:ascii="TimesNewRomanPSMT" w:hAnsi="TimesNewRomanPSMT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355" w:type="dxa"/>
            <w:gridSpan w:val="2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B733A7" w:rsidRPr="00B733A7" w:rsidRDefault="00B733A7" w:rsidP="00B733A7">
            <w:pPr>
              <w:rPr>
                <w:sz w:val="20"/>
                <w:szCs w:val="20"/>
              </w:rPr>
            </w:pPr>
          </w:p>
        </w:tc>
      </w:tr>
    </w:tbl>
    <w:p w:rsidR="00B733A7" w:rsidRDefault="00B733A7" w:rsidP="00B733A7">
      <w:pPr>
        <w:jc w:val="both"/>
        <w:rPr>
          <w:rFonts w:ascii="Arial" w:hAnsi="Arial" w:cs="Arial"/>
          <w:lang w:val="kk-KZ"/>
        </w:rPr>
      </w:pPr>
      <w:r w:rsidRPr="00B733A7">
        <w:br/>
      </w: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Default="00B733A7" w:rsidP="00B733A7">
      <w:pPr>
        <w:jc w:val="both"/>
        <w:rPr>
          <w:rFonts w:ascii="Arial" w:hAnsi="Arial" w:cs="Arial"/>
          <w:lang w:val="kk-KZ"/>
        </w:rPr>
      </w:pPr>
    </w:p>
    <w:p w:rsidR="00B733A7" w:rsidRPr="00B733A7" w:rsidRDefault="00B733A7" w:rsidP="00B733A7">
      <w:pPr>
        <w:jc w:val="both"/>
        <w:rPr>
          <w:rFonts w:ascii="Arial" w:hAnsi="Arial" w:cs="Arial"/>
          <w:lang w:val="kk-KZ"/>
        </w:rPr>
      </w:pPr>
    </w:p>
    <w:sectPr w:rsidR="00B733A7" w:rsidRPr="00B733A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E58FC"/>
    <w:multiLevelType w:val="hybridMultilevel"/>
    <w:tmpl w:val="DA8603D8"/>
    <w:lvl w:ilvl="0" w:tplc="5FA23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0358B"/>
    <w:multiLevelType w:val="hybridMultilevel"/>
    <w:tmpl w:val="3328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4B2D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41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7D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C78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0D53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154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A74"/>
    <w:rsid w:val="005116C4"/>
    <w:rsid w:val="005135A5"/>
    <w:rsid w:val="0051645B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C95"/>
    <w:rsid w:val="006A0389"/>
    <w:rsid w:val="006A0FBD"/>
    <w:rsid w:val="006A7742"/>
    <w:rsid w:val="006B2B8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A5A47"/>
    <w:rsid w:val="007B3459"/>
    <w:rsid w:val="007D5A26"/>
    <w:rsid w:val="007E07E6"/>
    <w:rsid w:val="007E3D0C"/>
    <w:rsid w:val="007F3DBC"/>
    <w:rsid w:val="00800002"/>
    <w:rsid w:val="00801FDE"/>
    <w:rsid w:val="008069FB"/>
    <w:rsid w:val="0081008A"/>
    <w:rsid w:val="00821210"/>
    <w:rsid w:val="00822C55"/>
    <w:rsid w:val="00834BCF"/>
    <w:rsid w:val="00837CF1"/>
    <w:rsid w:val="0084446B"/>
    <w:rsid w:val="00844A40"/>
    <w:rsid w:val="00850E98"/>
    <w:rsid w:val="00853796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398D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F88"/>
    <w:rsid w:val="00922249"/>
    <w:rsid w:val="00923618"/>
    <w:rsid w:val="00927984"/>
    <w:rsid w:val="00932150"/>
    <w:rsid w:val="00933282"/>
    <w:rsid w:val="009346B9"/>
    <w:rsid w:val="00936046"/>
    <w:rsid w:val="00952852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1758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292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2C6D"/>
    <w:rsid w:val="00AD52EF"/>
    <w:rsid w:val="00AD6598"/>
    <w:rsid w:val="00AE4097"/>
    <w:rsid w:val="00AE7F11"/>
    <w:rsid w:val="00AF1068"/>
    <w:rsid w:val="00B00AEE"/>
    <w:rsid w:val="00B01C75"/>
    <w:rsid w:val="00B02706"/>
    <w:rsid w:val="00B1285F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81B"/>
    <w:rsid w:val="00B733A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CEC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4402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rPr>
      <w:rFonts w:ascii="Segoe UI" w:eastAsiaTheme="minorEastAsia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D11CEC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D11CEC"/>
    <w:pPr>
      <w:spacing w:after="0" w:line="240" w:lineRule="auto"/>
    </w:pPr>
  </w:style>
  <w:style w:type="character" w:customStyle="1" w:styleId="fontstyle01">
    <w:name w:val="fontstyle01"/>
    <w:basedOn w:val="a0"/>
    <w:rsid w:val="00B733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D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D11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74602-1473-4759-903D-57C8581D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14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65</cp:revision>
  <cp:lastPrinted>2022-02-21T04:12:00Z</cp:lastPrinted>
  <dcterms:created xsi:type="dcterms:W3CDTF">2022-02-18T12:04:00Z</dcterms:created>
  <dcterms:modified xsi:type="dcterms:W3CDTF">2023-12-07T05:59:00Z</dcterms:modified>
</cp:coreProperties>
</file>