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</w:t>
      </w:r>
      <w:r w:rsidR="00601721">
        <w:rPr>
          <w:rFonts w:ascii="Times New Roman" w:hAnsi="Times New Roman"/>
          <w:b/>
          <w:color w:val="000000"/>
          <w:sz w:val="24"/>
        </w:rPr>
        <w:t>ілім</w:t>
      </w:r>
      <w:proofErr w:type="spellEnd"/>
      <w:r w:rsidR="0060172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="00601721"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 w:rsidR="0060172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="00601721"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 w:rsidR="00601721">
        <w:rPr>
          <w:rFonts w:ascii="Times New Roman" w:hAnsi="Times New Roman"/>
          <w:b/>
          <w:color w:val="000000"/>
          <w:sz w:val="24"/>
        </w:rPr>
        <w:t>" КММ география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мұғалімі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313"/>
        <w:gridCol w:w="6222"/>
      </w:tblGrid>
      <w:tr w:rsidR="00B56ECB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B56ECB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Pr="005B7B9B" w:rsidRDefault="00601721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географии</w:t>
            </w:r>
            <w:r w:rsidR="00B56ECB" w:rsidRPr="005B7B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6ECB" w:rsidRPr="005B7B9B">
              <w:rPr>
                <w:rFonts w:ascii="Times New Roman" w:hAnsi="Times New Roman"/>
                <w:sz w:val="24"/>
              </w:rPr>
              <w:t>мұғалімі</w:t>
            </w:r>
            <w:proofErr w:type="spellEnd"/>
          </w:p>
          <w:p w:rsidR="00B56ECB" w:rsidRPr="005B7B9B" w:rsidRDefault="005B7B9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B7B9B">
              <w:rPr>
                <w:rFonts w:ascii="Times New Roman" w:hAnsi="Times New Roman"/>
                <w:sz w:val="24"/>
              </w:rPr>
              <w:t>12</w:t>
            </w:r>
            <w:r w:rsidR="00B56ECB" w:rsidRPr="005B7B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56ECB" w:rsidRPr="005B7B9B">
              <w:rPr>
                <w:rFonts w:ascii="Times New Roman" w:hAnsi="Times New Roman"/>
                <w:sz w:val="24"/>
              </w:rPr>
              <w:t>сағат</w:t>
            </w:r>
            <w:proofErr w:type="spellEnd"/>
          </w:p>
          <w:p w:rsidR="00B56ECB" w:rsidRPr="005B7B9B" w:rsidRDefault="005B7B9B" w:rsidP="00AC3816">
            <w:pPr>
              <w:spacing w:after="0" w:line="240" w:lineRule="auto"/>
              <w:rPr>
                <w:rFonts w:ascii="Times New Roman" w:hAnsi="Times New Roman"/>
              </w:rPr>
            </w:pPr>
            <w:r w:rsidRPr="005B7B9B">
              <w:rPr>
                <w:rFonts w:ascii="Times New Roman" w:hAnsi="Times New Roman"/>
              </w:rPr>
              <w:t>(на время декретного отпуска)</w:t>
            </w: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56ECB" w:rsidRDefault="00B56ECB" w:rsidP="00AC3816">
            <w:pPr>
              <w:spacing w:after="0" w:line="240" w:lineRule="auto"/>
              <w:jc w:val="both"/>
            </w:pPr>
          </w:p>
        </w:tc>
      </w:tr>
      <w:tr w:rsidR="00B56ECB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 w:rsidR="005B7B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B7B9B"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 w:rsidR="005B7B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B7B9B">
              <w:rPr>
                <w:rFonts w:ascii="Times New Roman" w:hAnsi="Times New Roman"/>
                <w:sz w:val="24"/>
              </w:rPr>
              <w:t>білім</w:t>
            </w:r>
            <w:proofErr w:type="spellEnd"/>
            <w:r w:rsidR="005B7B9B">
              <w:rPr>
                <w:rFonts w:ascii="Times New Roman" w:hAnsi="Times New Roman"/>
                <w:sz w:val="24"/>
              </w:rPr>
              <w:t xml:space="preserve"> беру </w:t>
            </w:r>
            <w:proofErr w:type="gramStart"/>
            <w:r w:rsidR="005B7B9B"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 w:rsidR="005B7B9B">
              <w:rPr>
                <w:rFonts w:ascii="Times New Roman" w:hAnsi="Times New Roman"/>
                <w:sz w:val="24"/>
              </w:rPr>
              <w:t>min</w:t>
            </w:r>
            <w:proofErr w:type="spellEnd"/>
            <w:proofErr w:type="gramEnd"/>
            <w:r w:rsidR="005B7B9B">
              <w:rPr>
                <w:rFonts w:ascii="Times New Roman" w:hAnsi="Times New Roman"/>
                <w:sz w:val="24"/>
              </w:rPr>
              <w:t>): 142</w:t>
            </w:r>
            <w:r>
              <w:rPr>
                <w:rFonts w:ascii="Times New Roman" w:hAnsi="Times New Roman"/>
                <w:sz w:val="24"/>
              </w:rPr>
              <w:t>000 тенге;</w:t>
            </w:r>
          </w:p>
          <w:p w:rsidR="00B56ECB" w:rsidRDefault="005B7B9B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167</w:t>
            </w:r>
            <w:r w:rsidR="00B56ECB">
              <w:rPr>
                <w:rFonts w:ascii="Times New Roman" w:hAnsi="Times New Roman"/>
                <w:sz w:val="24"/>
              </w:rPr>
              <w:t>000 тенге</w:t>
            </w:r>
          </w:p>
        </w:tc>
      </w:tr>
      <w:tr w:rsidR="00B56ECB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B56ECB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  <w:r w:rsidR="005B7B9B">
              <w:rPr>
                <w:rFonts w:ascii="Times New Roman" w:hAnsi="Times New Roman"/>
                <w:sz w:val="24"/>
              </w:rPr>
              <w:t>7.09.2024 - 11.10</w:t>
            </w:r>
            <w:r>
              <w:rPr>
                <w:rFonts w:ascii="Times New Roman" w:hAnsi="Times New Roman"/>
                <w:sz w:val="24"/>
              </w:rPr>
              <w:t>.2024</w:t>
            </w:r>
          </w:p>
        </w:tc>
      </w:tr>
      <w:tr w:rsidR="00B56ECB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</w:rPr>
              <w:t>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p w:rsidR="00B56ECB" w:rsidRDefault="00B56ECB" w:rsidP="00B56ECB">
      <w:pPr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261"/>
      </w:tblGrid>
      <w:tr w:rsidR="00B56ECB" w:rsidTr="00AC3816">
        <w:tc>
          <w:tcPr>
            <w:tcW w:w="5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345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Ережеге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10-қосымша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босату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6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білім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6"/>
              </w:rPr>
              <w:t>ұйымдарының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6"/>
              </w:rPr>
              <w:t>Пішін</w:t>
            </w:r>
            <w:proofErr w:type="spellEnd"/>
          </w:p>
        </w:tc>
      </w:tr>
    </w:tbl>
    <w:p w:rsidR="00B56ECB" w:rsidRDefault="00B56ECB" w:rsidP="00B56EC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(конкурс </w:t>
      </w:r>
      <w:proofErr w:type="spellStart"/>
      <w:r>
        <w:rPr>
          <w:rFonts w:ascii="Times New Roman" w:hAnsi="Times New Roman"/>
          <w:sz w:val="24"/>
        </w:rPr>
        <w:t>жариялаған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мемлекеттік</w:t>
      </w:r>
      <w:proofErr w:type="spellEnd"/>
      <w:r>
        <w:rPr>
          <w:rFonts w:ascii="Times New Roman" w:hAnsi="Times New Roman"/>
          <w:sz w:val="24"/>
        </w:rPr>
        <w:t xml:space="preserve"> орган)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Кандидаттың</w:t>
      </w:r>
      <w:proofErr w:type="spellEnd"/>
      <w:r>
        <w:rPr>
          <w:rFonts w:ascii="Times New Roman" w:hAnsi="Times New Roman"/>
          <w:sz w:val="24"/>
        </w:rPr>
        <w:t xml:space="preserve"> Т. А. Ә,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), ЖСН)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spellStart"/>
      <w:proofErr w:type="gramEnd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/>
        <w:rPr>
          <w:rFonts w:ascii="Times New Roman" w:hAnsi="Times New Roman"/>
          <w:b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Өтініш</w:t>
      </w:r>
      <w:proofErr w:type="spellEnd"/>
    </w:p>
    <w:p w:rsidR="00B56ECB" w:rsidRDefault="00B56ECB" w:rsidP="00B56EC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Мені</w:t>
      </w:r>
      <w:proofErr w:type="spellEnd"/>
      <w:r>
        <w:rPr>
          <w:rFonts w:ascii="Times New Roman" w:hAnsi="Times New Roman"/>
          <w:b/>
          <w:sz w:val="24"/>
        </w:rPr>
        <w:t xml:space="preserve"> бос / </w:t>
      </w:r>
      <w:proofErr w:type="spellStart"/>
      <w:r>
        <w:rPr>
          <w:rFonts w:ascii="Times New Roman" w:hAnsi="Times New Roman"/>
          <w:b/>
          <w:sz w:val="24"/>
        </w:rPr>
        <w:t>уақытша</w:t>
      </w:r>
      <w:proofErr w:type="spellEnd"/>
      <w:r>
        <w:rPr>
          <w:rFonts w:ascii="Times New Roman" w:hAnsi="Times New Roman"/>
          <w:b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sz w:val="24"/>
        </w:rPr>
        <w:t>орынға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конкурсқа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жіберуіңізді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сұраймын</w:t>
      </w:r>
      <w:proofErr w:type="spellEnd"/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лауазымдар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қажеттінің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астын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сызу</w:t>
      </w:r>
      <w:proofErr w:type="spellEnd"/>
      <w:r>
        <w:rPr>
          <w:rFonts w:ascii="Times New Roman" w:hAnsi="Times New Roman"/>
          <w:b/>
          <w:sz w:val="24"/>
        </w:rPr>
        <w:t>) 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білім</w:t>
      </w:r>
      <w:proofErr w:type="spellEnd"/>
      <w:r>
        <w:rPr>
          <w:rFonts w:ascii="Times New Roman" w:hAnsi="Times New Roman"/>
          <w:sz w:val="24"/>
        </w:rPr>
        <w:t xml:space="preserve"> беру </w:t>
      </w:r>
      <w:proofErr w:type="spellStart"/>
      <w:r>
        <w:rPr>
          <w:rFonts w:ascii="Times New Roman" w:hAnsi="Times New Roman"/>
          <w:sz w:val="24"/>
        </w:rPr>
        <w:t>ұйымдарының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Қазіргі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уақытта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істеймін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</w:t>
      </w: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ұйымның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мекен-жайы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 </w:t>
      </w:r>
      <w:proofErr w:type="spellStart"/>
      <w:r>
        <w:rPr>
          <w:rFonts w:ascii="Times New Roman" w:hAnsi="Times New Roman"/>
          <w:sz w:val="24"/>
        </w:rPr>
        <w:t>өзім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хабарлаймын</w:t>
      </w:r>
      <w:proofErr w:type="spell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B56ECB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56ECB" w:rsidRDefault="00B56ECB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мамандығы</w:t>
            </w:r>
            <w:proofErr w:type="spellEnd"/>
          </w:p>
        </w:tc>
      </w:tr>
      <w:tr w:rsidR="00B56ECB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Біліктілік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санатының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берілген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расталған</w:t>
      </w:r>
      <w:proofErr w:type="spellEnd"/>
      <w:r>
        <w:rPr>
          <w:rFonts w:ascii="Times New Roman" w:hAnsi="Times New Roman"/>
          <w:sz w:val="24"/>
        </w:rPr>
        <w:t xml:space="preserve"> күні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Педагогикалық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өтілі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нәтижелерім</w:t>
      </w:r>
      <w:proofErr w:type="spellEnd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Марапаттары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атақтары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атағы</w:t>
      </w:r>
      <w:proofErr w:type="spellEnd"/>
      <w:r>
        <w:rPr>
          <w:rFonts w:ascii="Times New Roman" w:hAnsi="Times New Roman"/>
          <w:sz w:val="24"/>
        </w:rPr>
        <w:t>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сондай-ақ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proofErr w:type="gram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)_</w:t>
      </w:r>
      <w:proofErr w:type="gramEnd"/>
      <w:r>
        <w:rPr>
          <w:rFonts w:ascii="Times New Roman" w:hAnsi="Times New Roman"/>
          <w:sz w:val="24"/>
        </w:rPr>
        <w:t>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____________20___жылы 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(</w:t>
      </w:r>
      <w:proofErr w:type="spellStart"/>
      <w:r>
        <w:rPr>
          <w:rFonts w:ascii="Times New Roman" w:hAnsi="Times New Roman"/>
          <w:sz w:val="24"/>
        </w:rPr>
        <w:t>қолы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8"/>
        <w:gridCol w:w="3670"/>
      </w:tblGrid>
      <w:tr w:rsidR="00B56ECB" w:rsidTr="00AC3816">
        <w:tc>
          <w:tcPr>
            <w:tcW w:w="5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345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B56ECB" w:rsidRDefault="00B56ECB" w:rsidP="00AC3816">
            <w:pPr>
              <w:spacing w:after="0" w:line="345" w:lineRule="auto"/>
              <w:jc w:val="center"/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11-қосымша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босату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8"/>
              </w:rPr>
              <w:t>педагогтар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білім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8"/>
              </w:rPr>
              <w:t>ұйымдарының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8"/>
              </w:rPr>
              <w:t>Пішін</w:t>
            </w:r>
            <w:proofErr w:type="spellEnd"/>
          </w:p>
        </w:tc>
      </w:tr>
    </w:tbl>
    <w:p w:rsidR="00B56ECB" w:rsidRDefault="00B56ECB" w:rsidP="00B56ECB">
      <w:pPr>
        <w:spacing w:after="0" w:line="240" w:lineRule="auto"/>
        <w:rPr>
          <w:rFonts w:ascii="Times New Roman" w:hAnsi="Times New Roman"/>
          <w:sz w:val="24"/>
        </w:rPr>
      </w:pPr>
    </w:p>
    <w:p w:rsidR="00B56ECB" w:rsidRDefault="00B56ECB" w:rsidP="00B56ECB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Педагогтің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немесе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кандидаттың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бағалау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парағы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тегі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әкесінің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</w:t>
      </w:r>
    </w:p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821"/>
        <w:gridCol w:w="2409"/>
        <w:gridCol w:w="3378"/>
        <w:gridCol w:w="955"/>
      </w:tblGrid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Segoe UI Symbol" w:eastAsia="Segoe UI Symbol" w:hAnsi="Segoe UI Symbol" w:cs="Segoe UI Symbol"/>
                <w:b/>
                <w:spacing w:val="2"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Критерииі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ұпай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саны </w:t>
            </w:r>
            <w:proofErr w:type="gramStart"/>
            <w:r>
              <w:rPr>
                <w:rFonts w:ascii="Times New Roman" w:hAnsi="Times New Roman"/>
                <w:b/>
                <w:spacing w:val="2"/>
                <w:sz w:val="24"/>
              </w:rPr>
              <w:t>( 1</w:t>
            </w:r>
            <w:proofErr w:type="gram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 20-ға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20"/>
              <w:ind w:left="2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бағасы</w:t>
            </w:r>
            <w:proofErr w:type="spellEnd"/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сырттай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қашықтықтан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диплом = 7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Ғылыми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академиялық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дәрежесі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маман</w:t>
            </w:r>
            <w:proofErr w:type="spellEnd"/>
            <w:r>
              <w:rPr>
                <w:rFonts w:ascii="Times New Roman" w:hAnsi="Times New Roman"/>
              </w:rPr>
              <w:t xml:space="preserve"> = 5 балл;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PHD-доктор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докторы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кандидаты 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Ұлттық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тестілеуі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"Педагог-модератор"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7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сарапшы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=7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зерттеуші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9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«Педагог-мастер»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Санат</w:t>
            </w:r>
            <w:proofErr w:type="spellEnd"/>
            <w:r>
              <w:rPr>
                <w:rFonts w:ascii="Times New Roman" w:hAnsi="Times New Roman"/>
                <w:spacing w:val="2"/>
              </w:rPr>
              <w:t>.</w:t>
            </w:r>
          </w:p>
          <w:p w:rsidR="00B56ECB" w:rsidRDefault="00B56ECB" w:rsidP="00AC3816">
            <w:pPr>
              <w:spacing w:after="0" w:line="240" w:lineRule="auto"/>
              <w:ind w:left="66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куәлік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өзге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Педагог-модератор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сарапшы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зерттеуші</w:t>
            </w:r>
            <w:proofErr w:type="spellEnd"/>
            <w:r>
              <w:rPr>
                <w:rFonts w:ascii="Times New Roman" w:hAnsi="Times New Roman"/>
              </w:rPr>
              <w:t xml:space="preserve"> = 7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шебер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өтілі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1,5 балл</w:t>
            </w:r>
          </w:p>
          <w:p w:rsidR="00B56ECB" w:rsidRDefault="00B56ECB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Әкімшілік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және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әдіскер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56ECB" w:rsidRDefault="00B56ECB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орынбасары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:rsidR="00B56ECB" w:rsidRDefault="00B56ECB" w:rsidP="00AC3816">
            <w:pPr>
              <w:spacing w:after="0" w:line="240" w:lineRule="auto"/>
              <w:ind w:left="141" w:firstLine="851"/>
              <w:jc w:val="both"/>
            </w:pPr>
            <w:r>
              <w:rPr>
                <w:rFonts w:ascii="Times New Roman" w:hAnsi="Times New Roman"/>
              </w:rPr>
              <w:t xml:space="preserve">директор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Жұмысқа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алғаш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кіретін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мұғалімдер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үшін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қосымша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Педагогикалық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практика </w:t>
            </w:r>
            <w:proofErr w:type="spellStart"/>
            <w:r>
              <w:rPr>
                <w:rFonts w:ascii="Times New Roman" w:hAnsi="Times New Roman"/>
              </w:rPr>
              <w:t>нәтижелері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" = 1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"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Алдыңғы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орнынан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ұсыныс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хат (</w:t>
            </w:r>
            <w:proofErr w:type="spellStart"/>
            <w:r>
              <w:rPr>
                <w:rFonts w:ascii="Times New Roman" w:hAnsi="Times New Roman"/>
                <w:spacing w:val="2"/>
              </w:rPr>
              <w:t>еңбек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жүзеге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асыру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кезінде</w:t>
            </w:r>
            <w:proofErr w:type="spellEnd"/>
            <w:r>
              <w:rPr>
                <w:rFonts w:ascii="Times New Roman" w:hAnsi="Times New Roman"/>
                <w:spacing w:val="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Хат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болмауы</w:t>
            </w:r>
            <w:proofErr w:type="spellEnd"/>
            <w:r>
              <w:rPr>
                <w:rFonts w:ascii="Times New Roman" w:hAnsi="Times New Roman"/>
              </w:rPr>
              <w:t xml:space="preserve"> = минус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Теріс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хат = минус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Кәсіби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жетістіктер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көрсеткіштері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алушылардың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байқаулар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мемлекеттік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марапаттар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қатысушы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жүлдегері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Қазақстан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сіңірген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ұстазы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proofErr w:type="spellStart"/>
            <w:r>
              <w:rPr>
                <w:rFonts w:ascii="Times New Roman" w:hAnsi="Times New Roman"/>
              </w:rPr>
              <w:t>медалінің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иегері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авторлық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жұмыстар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жарияланымдар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РУМС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КОКСОН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ғылыми-зерттеу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жарияланымның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Scopus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көшбасшылық</w:t>
            </w:r>
            <w:proofErr w:type="spellEnd"/>
          </w:p>
          <w:p w:rsidR="00B56ECB" w:rsidRDefault="00B56ECB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көптілділікті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жүзеге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асыру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тәлімгер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 </w:t>
            </w:r>
            <w:proofErr w:type="spellStart"/>
            <w:r>
              <w:rPr>
                <w:rFonts w:ascii="Times New Roman" w:hAnsi="Times New Roman"/>
              </w:rPr>
              <w:t>нұсқаулығы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кәсіби-педагогикалық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қоғамдастықтың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көшбасшысы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:rsidR="00B56ECB" w:rsidRDefault="00B56ECB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>) = 3 балл,</w:t>
            </w:r>
          </w:p>
          <w:p w:rsidR="00B56ECB" w:rsidRDefault="00B56ECB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) = 5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Курстық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дайындық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пәндік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сертификаттары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цифрлық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сауаттылық</w:t>
            </w:r>
            <w:proofErr w:type="spellEnd"/>
            <w:r>
              <w:rPr>
                <w:rFonts w:ascii="Times New Roman" w:hAnsi="Times New Roman"/>
              </w:rPr>
              <w:t xml:space="preserve"> сертификаты, 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ҚАЗТЕСТ, IELTS; </w:t>
            </w:r>
          </w:p>
          <w:p w:rsidR="00B56ECB" w:rsidRDefault="00B56ECB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TOEFL; DELF;</w:t>
            </w:r>
          </w:p>
          <w:p w:rsidR="00B56ECB" w:rsidRDefault="00B56ECB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GoetheZertifikat</w:t>
            </w:r>
            <w:proofErr w:type="spellEnd"/>
            <w:r>
              <w:rPr>
                <w:rFonts w:ascii="Times New Roman" w:hAnsi="Times New Roman"/>
              </w:rPr>
              <w:t>,"</w:t>
            </w:r>
            <w:proofErr w:type="spellStart"/>
            <w:r>
              <w:rPr>
                <w:rFonts w:ascii="Times New Roman" w:hAnsi="Times New Roman"/>
              </w:rPr>
              <w:t>Python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бағдарламалау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</w:rPr>
              <w:t>", "</w:t>
            </w:r>
            <w:proofErr w:type="spellStart"/>
            <w:r>
              <w:rPr>
                <w:rFonts w:ascii="Times New Roman" w:hAnsi="Times New Roman"/>
              </w:rPr>
              <w:t>Microsoft</w:t>
            </w:r>
            <w:proofErr w:type="spellEnd"/>
            <w:r>
              <w:rPr>
                <w:rFonts w:ascii="Times New Roman" w:hAnsi="Times New Roman"/>
              </w:rPr>
              <w:t xml:space="preserve">-пен </w:t>
            </w:r>
            <w:proofErr w:type="spellStart"/>
            <w:r>
              <w:rPr>
                <w:rFonts w:ascii="Times New Roman" w:hAnsi="Times New Roman"/>
              </w:rPr>
              <w:t>жұмыс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істеуге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үйрету"бағдарламалары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НЗМ ПШО </w:t>
            </w:r>
            <w:proofErr w:type="spellStart"/>
            <w:r>
              <w:rPr>
                <w:rFonts w:ascii="Times New Roman" w:hAnsi="Times New Roman"/>
              </w:rPr>
              <w:t>курстары</w:t>
            </w:r>
            <w:proofErr w:type="spellEnd"/>
            <w:r>
              <w:rPr>
                <w:rFonts w:ascii="Times New Roman" w:hAnsi="Times New Roman"/>
              </w:rPr>
              <w:t xml:space="preserve">," </w:t>
            </w:r>
            <w:proofErr w:type="spellStart"/>
            <w:r>
              <w:rPr>
                <w:rFonts w:ascii="Times New Roman" w:hAnsi="Times New Roman"/>
              </w:rPr>
              <w:t>Өрлеу</w:t>
            </w:r>
            <w:proofErr w:type="spellEnd"/>
            <w:r>
              <w:rPr>
                <w:rFonts w:ascii="Times New Roman" w:hAnsi="Times New Roman"/>
              </w:rPr>
              <w:t xml:space="preserve"> " = 0,5 балл</w:t>
            </w:r>
          </w:p>
          <w:p w:rsidR="00B56ECB" w:rsidRDefault="00B56ECB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курстар</w:t>
            </w:r>
            <w:proofErr w:type="spellEnd"/>
            <w:r>
              <w:rPr>
                <w:rFonts w:ascii="Times New Roman" w:hAnsi="Times New Roman"/>
              </w:rPr>
              <w:t xml:space="preserve"> =0,5 балл (</w:t>
            </w:r>
            <w:proofErr w:type="spellStart"/>
            <w:r>
              <w:rPr>
                <w:rFonts w:ascii="Times New Roman" w:hAnsi="Times New Roman"/>
              </w:rPr>
              <w:t>әрқайсысы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B56ECB" w:rsidTr="00AC3816">
        <w:trPr>
          <w:trHeight w:val="1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jc w:val="both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Барлығы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балл–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B56ECB" w:rsidRDefault="00B56ECB" w:rsidP="00AC3816">
            <w:pPr>
              <w:spacing w:after="0" w:line="240" w:lineRule="auto"/>
              <w:ind w:firstLine="851"/>
              <w:rPr>
                <w:rFonts w:eastAsia="Calibri" w:cs="Calibri"/>
              </w:rPr>
            </w:pPr>
          </w:p>
        </w:tc>
      </w:tr>
    </w:tbl>
    <w:p w:rsidR="00B56ECB" w:rsidRDefault="00B56ECB" w:rsidP="00B56EC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56ECB" w:rsidRDefault="00B56ECB" w:rsidP="00B56ECB">
      <w:pPr>
        <w:rPr>
          <w:rFonts w:eastAsia="Calibri" w:cs="Calibri"/>
        </w:rPr>
      </w:pPr>
    </w:p>
    <w:p w:rsidR="00B56ECB" w:rsidRDefault="00B56ECB" w:rsidP="00B56ECB">
      <w:pPr>
        <w:rPr>
          <w:rFonts w:eastAsia="Calibri" w:cs="Calibri"/>
        </w:rPr>
      </w:pPr>
    </w:p>
    <w:p w:rsidR="00601721" w:rsidRDefault="00601721" w:rsidP="00B56ECB">
      <w:pPr>
        <w:rPr>
          <w:rFonts w:eastAsia="Calibri" w:cs="Calibri"/>
        </w:rPr>
      </w:pPr>
    </w:p>
    <w:p w:rsidR="00601721" w:rsidRDefault="00601721" w:rsidP="00B56ECB">
      <w:pPr>
        <w:rPr>
          <w:rFonts w:eastAsia="Calibri" w:cs="Calibri"/>
        </w:rPr>
      </w:pPr>
    </w:p>
    <w:p w:rsidR="00601721" w:rsidRDefault="00601721" w:rsidP="00B56ECB">
      <w:pPr>
        <w:rPr>
          <w:rFonts w:eastAsia="Calibri" w:cs="Calibri"/>
        </w:rPr>
      </w:pPr>
    </w:p>
    <w:p w:rsidR="00601721" w:rsidRDefault="00601721" w:rsidP="00B56ECB">
      <w:pPr>
        <w:rPr>
          <w:rFonts w:eastAsia="Calibri" w:cs="Calibri"/>
        </w:rPr>
      </w:pPr>
    </w:p>
    <w:p w:rsidR="00601721" w:rsidRDefault="00601721" w:rsidP="00B56ECB">
      <w:pPr>
        <w:rPr>
          <w:rFonts w:eastAsia="Calibri" w:cs="Calibri"/>
        </w:rPr>
      </w:pPr>
    </w:p>
    <w:p w:rsidR="00F63D62" w:rsidRPr="00CD38F2" w:rsidRDefault="00F63D62" w:rsidP="00F63D62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601721">
        <w:rPr>
          <w:rFonts w:ascii="Times New Roman" w:hAnsi="Times New Roman"/>
          <w:b/>
          <w:color w:val="000000"/>
          <w:sz w:val="24"/>
          <w:szCs w:val="24"/>
          <w:u w:val="single"/>
        </w:rPr>
        <w:t>географии</w:t>
      </w:r>
    </w:p>
    <w:p w:rsidR="00F63D62" w:rsidRPr="00AD2C10" w:rsidRDefault="00F63D62" w:rsidP="00F63D62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F63D62" w:rsidRPr="00F5194B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63D62" w:rsidRPr="00F5194B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F63D62" w:rsidRPr="00F5194B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F63D62" w:rsidRPr="00F5194B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F63D62" w:rsidRPr="00F5194B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017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географии</w:t>
            </w:r>
          </w:p>
          <w:p w:rsidR="00F63D62" w:rsidRPr="00F5194B" w:rsidRDefault="00601721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  <w:r w:rsidR="00F63D62"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часов</w:t>
            </w:r>
            <w:r w:rsidR="005C39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(на время декретного отпуска)</w:t>
            </w:r>
          </w:p>
        </w:tc>
      </w:tr>
      <w:tr w:rsidR="00F63D62" w:rsidRPr="00F5194B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63D62" w:rsidRPr="00F5194B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5C39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142</w:t>
            </w:r>
            <w:r w:rsidR="00D756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5C39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167</w:t>
            </w:r>
            <w:bookmarkStart w:id="0" w:name="_GoBack"/>
            <w:bookmarkEnd w:id="0"/>
            <w:r w:rsidR="00D756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000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F63D62" w:rsidRPr="00F5194B" w:rsidTr="00AF40A0"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63D62" w:rsidRPr="00F5194B" w:rsidTr="00AF40A0">
        <w:trPr>
          <w:trHeight w:val="105"/>
        </w:trPr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6017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7.09.2024 - 11.10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F63D62" w:rsidRPr="00F5194B" w:rsidTr="00AF40A0">
        <w:tc>
          <w:tcPr>
            <w:tcW w:w="39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63D62" w:rsidRPr="00F5194B" w:rsidRDefault="00F63D62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p w:rsidR="00F63D62" w:rsidRDefault="00F63D62" w:rsidP="00F63D62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F63D62" w:rsidRPr="00F5194B" w:rsidTr="00AF40A0">
        <w:trPr>
          <w:trHeight w:val="781"/>
        </w:trPr>
        <w:tc>
          <w:tcPr>
            <w:tcW w:w="5495" w:type="dxa"/>
            <w:shd w:val="clear" w:color="auto" w:fill="auto"/>
          </w:tcPr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63D62" w:rsidRPr="00E619AE" w:rsidRDefault="00F63D62" w:rsidP="00F63D6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F63D62" w:rsidRPr="00AD2C10" w:rsidRDefault="00F63D62" w:rsidP="00F6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F63D62" w:rsidRPr="00E619AE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F63D62" w:rsidRPr="00E619AE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F63D62" w:rsidRPr="00AD2C10" w:rsidRDefault="00F63D62" w:rsidP="00F6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(должность, место работы)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:rsidR="00F63D62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:rsidR="00F63D62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63D62" w:rsidRPr="00AD2C10" w:rsidRDefault="00F63D62" w:rsidP="00F63D62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F63D62" w:rsidRPr="00AD2C10" w:rsidRDefault="00F63D62" w:rsidP="00F63D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3D62" w:rsidRPr="00AD2C10" w:rsidRDefault="00F63D62" w:rsidP="00F63D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F63D62" w:rsidRPr="00AD2C10" w:rsidRDefault="00F63D62" w:rsidP="00F63D6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F63D62" w:rsidRPr="00F5194B" w:rsidTr="00AF40A0">
        <w:trPr>
          <w:trHeight w:val="760"/>
        </w:trPr>
        <w:tc>
          <w:tcPr>
            <w:tcW w:w="212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F63D62" w:rsidRPr="00F5194B" w:rsidRDefault="00F63D62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F63D62" w:rsidRPr="00F5194B" w:rsidTr="00AF40A0">
        <w:trPr>
          <w:trHeight w:val="1020"/>
        </w:trPr>
        <w:tc>
          <w:tcPr>
            <w:tcW w:w="212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F63D62" w:rsidRPr="00F5194B" w:rsidRDefault="00F63D62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F63D62" w:rsidRPr="003B3594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F63D62" w:rsidRPr="003B3594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63D62" w:rsidRPr="00AD2C10" w:rsidRDefault="00F63D62" w:rsidP="00F63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F63D62" w:rsidRPr="00F5194B" w:rsidTr="00AF40A0">
        <w:trPr>
          <w:trHeight w:val="781"/>
        </w:trPr>
        <w:tc>
          <w:tcPr>
            <w:tcW w:w="5920" w:type="dxa"/>
            <w:shd w:val="clear" w:color="auto" w:fill="auto"/>
          </w:tcPr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63D62" w:rsidRPr="00F5194B" w:rsidRDefault="00F63D62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F63D62" w:rsidRPr="00F5194B" w:rsidRDefault="00F63D62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F63D62" w:rsidRPr="00AD2C10" w:rsidRDefault="00F63D62" w:rsidP="00F63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D62" w:rsidRPr="00AD2C10" w:rsidRDefault="00F63D62" w:rsidP="00F63D6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/>
          <w:sz w:val="24"/>
          <w:szCs w:val="24"/>
        </w:rPr>
        <w:t>при его наличии))</w:t>
      </w:r>
    </w:p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F63D62" w:rsidRPr="00F5194B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F63D62" w:rsidRPr="00AD2C10" w:rsidRDefault="00F63D62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F63D62" w:rsidRPr="00F5194B" w:rsidRDefault="00F63D62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:rsidR="00F63D62" w:rsidRPr="003B3594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/>
              </w:rPr>
              <w:lastRenderedPageBreak/>
              <w:t>олимпиад и конкурсов учителя;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призеры олимпиад и конкурсов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AD2C10" w:rsidRDefault="00F63D62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:rsidR="00F63D62" w:rsidRPr="003B3594" w:rsidRDefault="00F63D62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:rsidR="00F63D62" w:rsidRPr="003B3594" w:rsidRDefault="00F63D62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63D62" w:rsidRPr="00F5194B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63D62" w:rsidRPr="00AD2C10" w:rsidRDefault="00F63D62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F63D62" w:rsidRPr="00AD2C10" w:rsidRDefault="00F63D62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63D62" w:rsidRPr="00AD2C10" w:rsidRDefault="00F63D62" w:rsidP="00F63D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63D62" w:rsidRDefault="00F63D62" w:rsidP="00F63D62"/>
    <w:p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B"/>
    <w:rsid w:val="003A410E"/>
    <w:rsid w:val="005B7B9B"/>
    <w:rsid w:val="005C3926"/>
    <w:rsid w:val="00601721"/>
    <w:rsid w:val="0079394B"/>
    <w:rsid w:val="00B56ECB"/>
    <w:rsid w:val="00D7566F"/>
    <w:rsid w:val="00F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9527-1896-431A-B4EC-F07B2BAE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2024-09-27T06:09:00Z</dcterms:created>
  <dcterms:modified xsi:type="dcterms:W3CDTF">2024-09-27T06:16:00Z</dcterms:modified>
</cp:coreProperties>
</file>