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28" w:rsidRPr="008E0CF5" w:rsidRDefault="00FE712F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b/>
          <w:sz w:val="32"/>
          <w:szCs w:val="32"/>
        </w:rPr>
        <w:t>«</w:t>
      </w:r>
      <w:r w:rsidRPr="008E0CF5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</w:t>
      </w:r>
      <w:r w:rsidR="00984128" w:rsidRPr="008E0CF5">
        <w:rPr>
          <w:rFonts w:ascii="Times New Roman" w:hAnsi="Times New Roman" w:cs="Times New Roman"/>
          <w:b/>
          <w:sz w:val="32"/>
          <w:szCs w:val="32"/>
        </w:rPr>
        <w:t>?»</w:t>
      </w:r>
    </w:p>
    <w:p w:rsidR="00984128" w:rsidRPr="008E0CF5" w:rsidRDefault="00984128" w:rsidP="00FE712F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        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b/>
          <w:i/>
          <w:iCs/>
          <w:sz w:val="32"/>
          <w:szCs w:val="32"/>
        </w:rPr>
        <w:t>Что так</w:t>
      </w:r>
      <w:r w:rsidR="00FE712F" w:rsidRPr="008E0CF5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ое общее недоразвитие </w:t>
      </w:r>
      <w:proofErr w:type="gramStart"/>
      <w:r w:rsidR="00FE712F" w:rsidRPr="008E0CF5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речи </w:t>
      </w:r>
      <w:r w:rsidRPr="008E0CF5">
        <w:rPr>
          <w:rFonts w:ascii="Times New Roman" w:hAnsi="Times New Roman" w:cs="Times New Roman"/>
          <w:b/>
          <w:i/>
          <w:iCs/>
          <w:sz w:val="32"/>
          <w:szCs w:val="32"/>
        </w:rPr>
        <w:t>?</w:t>
      </w:r>
      <w:proofErr w:type="gramEnd"/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8E0CF5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        Для речи таких детей характерны следующие признаки: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8E0CF5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        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по резус-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 xml:space="preserve">        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три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Три раза в неделю с каждым ребенком проводятся индивидуальные занятия по коррекции звукопроизношения.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8E0CF5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 w:rsidRPr="008E0CF5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8E0CF5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8E0CF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Pr="008E0CF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8E0CF5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8E0CF5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8E0CF5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8E0CF5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CF467A" w:rsidRPr="008E0CF5" w:rsidRDefault="00FD6925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E0CF5">
        <w:rPr>
          <w:rFonts w:ascii="Times New Roman" w:hAnsi="Times New Roman" w:cs="Times New Roman"/>
          <w:i/>
          <w:color w:val="000000"/>
          <w:sz w:val="32"/>
          <w:szCs w:val="32"/>
        </w:rPr>
        <w:t>Материал подготовлен: учителем – логопедом: Лобаревой Еленой Викторовной из источника:</w:t>
      </w:r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8E0CF5">
          <w:rPr>
            <w:rStyle w:val="a4"/>
            <w:rFonts w:ascii="Times New Roman" w:hAnsi="Times New Roman" w:cs="Times New Roman"/>
            <w:i/>
            <w:sz w:val="32"/>
            <w:szCs w:val="32"/>
          </w:rPr>
          <w:t>https://infourok.ru</w:t>
        </w:r>
      </w:hyperlink>
    </w:p>
    <w:p w:rsidR="00FD6925" w:rsidRPr="008E0CF5" w:rsidRDefault="00FD692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FD692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8E0CF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</w:t>
      </w:r>
      <w:bookmarkStart w:id="0" w:name="_GoBack"/>
      <w:bookmarkEnd w:id="0"/>
      <w:r w:rsidRPr="008E0CF5">
        <w:rPr>
          <w:rFonts w:ascii="Times New Roman" w:hAnsi="Times New Roman" w:cs="Times New Roman"/>
          <w:sz w:val="32"/>
          <w:szCs w:val="32"/>
        </w:rPr>
        <w:t>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дегеніміз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не?</w:t>
      </w: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Көбінесе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көптеген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ата-аналар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балаларында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тек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дыбыстық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айтылымның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бұзылуын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байқайды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баласын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мамандандырылған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логопедиялық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топқа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ауыстырудың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қажеті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жоқ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Көбінесе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айсбергтің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ұшы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балабақшаның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тобында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ақауларын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түзету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дегеніміз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0CF5">
        <w:rPr>
          <w:rFonts w:ascii="Times New Roman" w:hAnsi="Times New Roman" w:cs="Times New Roman"/>
          <w:sz w:val="32"/>
          <w:szCs w:val="32"/>
        </w:rPr>
        <w:t>не ?</w:t>
      </w:r>
      <w:proofErr w:type="gramEnd"/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уақытта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қабілеті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нашар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жасына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дейінгі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кемістігі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бар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көп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тобын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құрайды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жартысынан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көбінде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ОНR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логопедиялық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қорытындысы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бар-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Термин (ОНR)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күрделі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бұзылыстары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деп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түсініледі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онда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жүйесінің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компоненттерінің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қалыптасуы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бұзылады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дыбыстық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семантикалық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жағына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қатысты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қалыпты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есту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интеллект.</w:t>
      </w: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Мұндай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келесі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белгілермен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сипатталады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: -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кейінірек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басталуы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сөздер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3-4,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кейде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жаста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); -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экспрессивті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импрессивтіден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артта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(бала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сөйлеген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сөзін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түсінеді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өзі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айта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алмайды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); -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бөліктерін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бір-бірімен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үйлестірмейді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предлогтарды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қолданбайды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құруда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қиындық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туғызады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; - ОНР бар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дыбыстардың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топтарының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айтылуы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бұзылады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; -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қабілеті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дамымаған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түсініксіз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>.</w:t>
      </w: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дамымауының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себептері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дамымауының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себептерінің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биологиялық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сипаттағы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факторлар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бар.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Биологиялық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факторларға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мыналар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жатады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жүктілік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кезіндегі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ананың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инфекциясы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интоксикациясы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Rh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факторы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топтық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байланысы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ұрықтың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қанының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үйлесімсіздігі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жүктілік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кезіндегі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ұрықтың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зақымдануы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(инфекция, интоксикация,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оттегі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ашығуынан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туындаған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босанғаннан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кейінгі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ОЖЖ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аурулары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баланың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өмірінің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жылдарындағы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жарақаттары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>.</w:t>
      </w: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Сонымен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қатар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ОНР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тәрбие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оқытудың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қолайсыз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жағдайларына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сөйлеудің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белсенді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ересектермен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қарым-қатынастың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жеткіліксіздігімен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Көптеген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жағдайларда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Ohr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әртүрлі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факторлардың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кешенді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әсерінің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салдары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тұқым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қуалайтын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бейімділік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, ОЖЖ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органикалық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жеткіліксіздігі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кейде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оңай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көрінеді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қолайсыз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0CF5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8E0CF5">
        <w:rPr>
          <w:rFonts w:ascii="Times New Roman" w:hAnsi="Times New Roman" w:cs="Times New Roman"/>
          <w:sz w:val="32"/>
          <w:szCs w:val="32"/>
        </w:rPr>
        <w:t xml:space="preserve"> орта.</w:t>
      </w: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E0CF5" w:rsidRPr="008E0CF5" w:rsidRDefault="008E0CF5" w:rsidP="008E0CF5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8E0CF5" w:rsidRPr="008E0CF5" w:rsidSect="00FE712F">
      <w:pgSz w:w="11906" w:h="16838"/>
      <w:pgMar w:top="820" w:right="709" w:bottom="709" w:left="851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64"/>
    <w:rsid w:val="001C227D"/>
    <w:rsid w:val="00293C64"/>
    <w:rsid w:val="004A01E7"/>
    <w:rsid w:val="00575AA3"/>
    <w:rsid w:val="0073266E"/>
    <w:rsid w:val="007F2B7F"/>
    <w:rsid w:val="008E0CF5"/>
    <w:rsid w:val="00944340"/>
    <w:rsid w:val="00984128"/>
    <w:rsid w:val="00B00168"/>
    <w:rsid w:val="00C334FF"/>
    <w:rsid w:val="00C34B67"/>
    <w:rsid w:val="00C423AE"/>
    <w:rsid w:val="00CF467A"/>
    <w:rsid w:val="00D662B0"/>
    <w:rsid w:val="00FB74A9"/>
    <w:rsid w:val="00FD6925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7BBAF-CFFF-44BF-8B5B-7A7F1987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kamila</cp:lastModifiedBy>
  <cp:revision>3</cp:revision>
  <cp:lastPrinted>2025-02-23T14:23:00Z</cp:lastPrinted>
  <dcterms:created xsi:type="dcterms:W3CDTF">2025-02-23T14:25:00Z</dcterms:created>
  <dcterms:modified xsi:type="dcterms:W3CDTF">2025-02-23T14:25:00Z</dcterms:modified>
</cp:coreProperties>
</file>