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634815">
        <w:rPr>
          <w:b/>
          <w:color w:val="000000"/>
          <w:sz w:val="24"/>
          <w:szCs w:val="24"/>
          <w:lang w:val="ru-RU"/>
        </w:rPr>
        <w:t>математики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634815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634815">
              <w:rPr>
                <w:lang w:val="ru-RU"/>
              </w:rPr>
              <w:t>математики</w:t>
            </w:r>
            <w:r w:rsidRPr="00A92469">
              <w:t xml:space="preserve">, </w:t>
            </w:r>
            <w:r w:rsidR="004237BE">
              <w:rPr>
                <w:lang w:val="ru-RU"/>
              </w:rPr>
              <w:t>16</w:t>
            </w:r>
            <w:r w:rsidR="0047467A">
              <w:rPr>
                <w:lang w:val="ru-RU"/>
              </w:rPr>
              <w:t xml:space="preserve"> ч</w:t>
            </w:r>
            <w:r w:rsidR="004237BE">
              <w:rPr>
                <w:lang w:val="ru-RU"/>
              </w:rPr>
              <w:t>асов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9C61C8" w:rsidP="009C61C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22.09-30</w:t>
            </w:r>
            <w:r w:rsidR="003A72ED">
              <w:rPr>
                <w:b/>
                <w:lang w:val="ru-RU"/>
              </w:rPr>
              <w:t>.09.2025 г.</w:t>
            </w:r>
            <w:bookmarkStart w:id="0" w:name="_GoBack"/>
            <w:bookmarkEnd w:id="0"/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3A72ED"/>
    <w:rsid w:val="004237BE"/>
    <w:rsid w:val="0047467A"/>
    <w:rsid w:val="00547394"/>
    <w:rsid w:val="00624506"/>
    <w:rsid w:val="00634815"/>
    <w:rsid w:val="00772EA0"/>
    <w:rsid w:val="009C2192"/>
    <w:rsid w:val="009C61C8"/>
    <w:rsid w:val="00A65C16"/>
    <w:rsid w:val="00A92469"/>
    <w:rsid w:val="00D4430C"/>
    <w:rsid w:val="00D94781"/>
    <w:rsid w:val="00E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C1CD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2025-07-15T13:02:00Z</dcterms:created>
  <dcterms:modified xsi:type="dcterms:W3CDTF">2025-09-22T17:37:00Z</dcterms:modified>
</cp:coreProperties>
</file>