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13"/>
          <w:sz w:val="24"/>
        </w:rPr>
        <w:t xml:space="preserve"> </w:t>
      </w:r>
      <w:r w:rsidR="007B3B1A">
        <w:rPr>
          <w:b/>
          <w:sz w:val="24"/>
        </w:rPr>
        <w:t>логопеда</w:t>
      </w:r>
      <w:r>
        <w:rPr>
          <w:b/>
          <w:sz w:val="24"/>
        </w:rPr>
        <w:t xml:space="preserve"> 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EF0341">
            <w:pPr>
              <w:pStyle w:val="TableParagraph"/>
              <w:spacing w:before="17"/>
              <w:ind w:left="112"/>
            </w:pPr>
            <w:hyperlink r:id="rId5">
              <w:r w:rsidR="00200876"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 w:rsidR="007B3B1A">
              <w:rPr>
                <w:sz w:val="24"/>
              </w:rPr>
              <w:t>логопед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оказывает специальную психолого-педагогическую поддержку детям с ограниченными возможностями; осуществляет психолого-педагогическое сопровождение детей с особыми образовательными потребностями в организациях образования;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инклюзивности</w:t>
            </w:r>
            <w:proofErr w:type="spellEnd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в образовании; в тесном контакте с другими педагогами и специалистами осуществляет деятельность по развитию и социализации детей с ограниченными возможностями;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специальный педагог специальных организаций образования, реализующие программы психолого-медико-педагогического обследования и консультирования ( 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 </w:t>
            </w:r>
          </w:p>
          <w:p w:rsidR="001F3502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lastRenderedPageBreak/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повышает свою профессиональную компетентность; участвует в заседаниях методических советов, методических объединений, сетевых сообществ; проводит работу по формированию толерантного отношения общества к лицам с особыми образовательными потребностями; соблюдает правила безопасности и охраны труда, противопожарной защиты; обеспечивает охрану жизни, здоровья и прав детей в период воспитательного процесса.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D791F"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7B3B1A" w:rsidRPr="007B3B1A" w:rsidRDefault="007B3B1A" w:rsidP="007B3B1A">
            <w:pPr>
              <w:widowControl/>
              <w:numPr>
                <w:ilvl w:val="0"/>
                <w:numId w:val="8"/>
              </w:numPr>
              <w:pBdr>
                <w:top w:val="single" w:sz="2" w:space="0" w:color="auto"/>
                <w:left w:val="single" w:sz="2" w:space="18" w:color="auto"/>
                <w:bottom w:val="single" w:sz="2" w:space="0" w:color="auto"/>
                <w:right w:val="single" w:sz="2" w:space="0" w:color="auto"/>
              </w:pBdr>
              <w:autoSpaceDE/>
              <w:autoSpaceDN/>
              <w:spacing w:before="100" w:beforeAutospacing="1" w:after="100" w:afterAutospacing="1"/>
              <w:ind w:left="114" w:hanging="474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7B3B1A">
              <w:rPr>
                <w:color w:val="1E293B"/>
                <w:sz w:val="24"/>
                <w:szCs w:val="24"/>
                <w:lang w:eastAsia="ru-RU"/>
              </w:rPr>
              <w:t>высшее и (или) послевузовское педагогическое образование по направлению " Специальное образование"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 и (или) при наличии высшего уровня квалификации стаж работы по специальности для педагога-мастера – не менее 5 лет.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EF0341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200876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9</w:t>
            </w:r>
            <w:r w:rsidR="001D791F">
              <w:rPr>
                <w:b/>
                <w:sz w:val="24"/>
                <w:lang w:val="en-US"/>
              </w:rPr>
              <w:t>.2025</w:t>
            </w:r>
            <w:r w:rsidR="00200876"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25</w:t>
            </w:r>
            <w:r w:rsidR="00200876">
              <w:rPr>
                <w:b/>
                <w:spacing w:val="-2"/>
                <w:sz w:val="24"/>
              </w:rPr>
              <w:t>.0</w:t>
            </w:r>
            <w:r>
              <w:rPr>
                <w:b/>
                <w:spacing w:val="-2"/>
                <w:sz w:val="24"/>
              </w:rPr>
              <w:t>9</w:t>
            </w:r>
            <w:bookmarkStart w:id="0" w:name="_GoBack"/>
            <w:bookmarkEnd w:id="0"/>
            <w:r w:rsidR="007B3B1A">
              <w:rPr>
                <w:b/>
                <w:spacing w:val="-2"/>
                <w:sz w:val="24"/>
              </w:rPr>
              <w:t>.</w:t>
            </w:r>
            <w:r w:rsidR="00200876"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 English Language Teaching – Primary) DELTA (Diploma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Instruction) Teacher of English to Speakers of Other Languages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EF0341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Mathematics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4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D791F"/>
    <w:rsid w:val="001F3502"/>
    <w:rsid w:val="00200876"/>
    <w:rsid w:val="003560E0"/>
    <w:rsid w:val="007B3B1A"/>
    <w:rsid w:val="00AB3574"/>
    <w:rsid w:val="00E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EAD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2025-02-11T09:33:00Z</dcterms:created>
  <dcterms:modified xsi:type="dcterms:W3CDTF">2025-12-11T05:23:00Z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