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5FF8C" w14:textId="2C468E80" w:rsidR="00F810B3" w:rsidRDefault="00D36A89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86381D">
        <w:t>№</w:t>
      </w:r>
      <w:r w:rsidR="0086381D">
        <w:rPr>
          <w:lang w:val="ru-RU"/>
        </w:rPr>
        <w:t>6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</w:t>
      </w:r>
      <w:r w:rsidR="00250ED9">
        <w:t xml:space="preserve"> </w:t>
      </w:r>
      <w:r>
        <w:t xml:space="preserve">должность </w:t>
      </w:r>
      <w:r w:rsidR="00CF4BB6">
        <w:t>с</w:t>
      </w:r>
      <w:r w:rsidR="00CF4BB6" w:rsidRPr="00CF4BB6">
        <w:t xml:space="preserve">оциальный </w:t>
      </w:r>
      <w:r w:rsidR="00115358">
        <w:t>п</w:t>
      </w:r>
      <w:r w:rsidR="00115358" w:rsidRPr="004C3AD2">
        <w:t xml:space="preserve">едагог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D36A8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D36A8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46DEDD54" w:rsidR="00F810B3" w:rsidRDefault="00D36A8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86381D">
              <w:t>№</w:t>
            </w:r>
            <w:r w:rsidR="0086381D">
              <w:rPr>
                <w:lang w:val="ru-RU"/>
              </w:rPr>
              <w:t>6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D36A8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D36A8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D36A8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Pr="0086381D" w:rsidRDefault="00F009D5" w:rsidP="00F009D5">
            <w:pPr>
              <w:pStyle w:val="TableParagraph"/>
              <w:spacing w:line="247" w:lineRule="exact"/>
            </w:pPr>
            <w:r w:rsidRPr="0086381D">
              <w:t xml:space="preserve">140007, Республика Казахстан, Павлодарская область,                               </w:t>
            </w:r>
          </w:p>
          <w:p w14:paraId="00A08293" w14:textId="028510C0" w:rsidR="00F810B3" w:rsidRPr="0086381D" w:rsidRDefault="00F009D5" w:rsidP="00F009D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86381D">
              <w:t xml:space="preserve"> </w:t>
            </w:r>
            <w:r w:rsidR="0086381D" w:rsidRPr="0086381D">
              <w:t xml:space="preserve">город  Павлодар, </w:t>
            </w:r>
            <w:r w:rsidR="0086381D" w:rsidRPr="0086381D">
              <w:t>улица Генерала  Смагулова, 78</w:t>
            </w:r>
          </w:p>
        </w:tc>
      </w:tr>
      <w:tr w:rsidR="0086381D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86381D" w:rsidRDefault="008638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86381D" w:rsidRDefault="0086381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30211783" w:rsidR="0086381D" w:rsidRPr="0086381D" w:rsidRDefault="0086381D">
            <w:pPr>
              <w:pStyle w:val="TableParagraph"/>
              <w:spacing w:line="244" w:lineRule="exact"/>
              <w:rPr>
                <w:lang w:val="ru-RU"/>
              </w:rPr>
            </w:pPr>
            <w:r w:rsidRPr="0086381D">
              <w:t>87182620158</w:t>
            </w:r>
          </w:p>
        </w:tc>
      </w:tr>
      <w:tr w:rsidR="0086381D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86381D" w:rsidRDefault="008638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86381D" w:rsidRDefault="0086381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008FBF94" w:rsidR="0086381D" w:rsidRPr="0086381D" w:rsidRDefault="0086381D">
            <w:pPr>
              <w:pStyle w:val="TableParagraph"/>
              <w:spacing w:line="234" w:lineRule="exact"/>
              <w:rPr>
                <w:lang w:val="ru-RU"/>
              </w:rPr>
            </w:pPr>
            <w:r w:rsidRPr="0086381D">
              <w:t>sosh6@goo.edu.kz</w:t>
            </w:r>
          </w:p>
        </w:tc>
      </w:tr>
      <w:tr w:rsidR="0086381D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86381D" w:rsidRDefault="0086381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86381D" w:rsidRDefault="0086381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86381D" w:rsidRDefault="0086381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56B8D7A" w:rsidR="0086381D" w:rsidRDefault="0086381D">
            <w:pPr>
              <w:pStyle w:val="TableParagraph"/>
              <w:spacing w:line="247" w:lineRule="exact"/>
              <w:rPr>
                <w:b/>
              </w:rPr>
            </w:pPr>
            <w:r w:rsidRPr="00CF4BB6">
              <w:rPr>
                <w:shd w:val="clear" w:color="auto" w:fill="FFFFFF" w:themeFill="background1"/>
              </w:rPr>
              <w:t>социальный педагог</w:t>
            </w:r>
            <w:r>
              <w:rPr>
                <w:shd w:val="clear" w:color="auto" w:fill="FFFFFF" w:themeFill="background1"/>
              </w:rPr>
              <w:t>,</w:t>
            </w:r>
            <w:r w:rsidRPr="00CF4BB6">
              <w:rPr>
                <w:shd w:val="clear" w:color="auto" w:fill="FFFFFF" w:themeFill="background1"/>
              </w:rPr>
              <w:t xml:space="preserve"> </w:t>
            </w:r>
            <w:r w:rsidRPr="00CF4BB6">
              <w:rPr>
                <w:b/>
                <w:shd w:val="clear" w:color="auto" w:fill="FFFFFF" w:themeFill="background1"/>
              </w:rPr>
              <w:t>1</w:t>
            </w:r>
            <w:r>
              <w:rPr>
                <w:b/>
              </w:rPr>
              <w:t xml:space="preserve"> ставка</w:t>
            </w:r>
            <w:bookmarkStart w:id="0" w:name="_GoBack"/>
            <w:bookmarkEnd w:id="0"/>
          </w:p>
        </w:tc>
      </w:tr>
      <w:tr w:rsidR="0086381D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86381D" w:rsidRDefault="008638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86381D" w:rsidRDefault="0086381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F51A4B7" w14:textId="77777777" w:rsidR="0086381D" w:rsidRPr="00CF4BB6" w:rsidRDefault="0086381D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CF4BB6">
              <w:t xml:space="preserve"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 </w:t>
            </w:r>
          </w:p>
          <w:p w14:paraId="493CCA0C" w14:textId="77777777" w:rsidR="0086381D" w:rsidRPr="00CF4BB6" w:rsidRDefault="0086381D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t xml:space="preserve">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 </w:t>
            </w:r>
          </w:p>
          <w:p w14:paraId="7C4A9426" w14:textId="6479F83B" w:rsidR="0086381D" w:rsidRDefault="0086381D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CF4BB6">
              <w:t xml:space="preserve">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</w:tc>
      </w:tr>
      <w:tr w:rsidR="0086381D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86381D" w:rsidRDefault="0086381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86381D" w:rsidRDefault="0086381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86381D" w:rsidRDefault="0086381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86381D" w:rsidRDefault="0086381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6381D" w14:paraId="6E1272A1" w14:textId="77777777" w:rsidTr="00CF4BB6">
        <w:trPr>
          <w:trHeight w:val="2041"/>
        </w:trPr>
        <w:tc>
          <w:tcPr>
            <w:tcW w:w="392" w:type="dxa"/>
          </w:tcPr>
          <w:p w14:paraId="1CEDBD72" w14:textId="77777777" w:rsidR="0086381D" w:rsidRDefault="0086381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86381D" w:rsidRDefault="0086381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86381D" w:rsidRDefault="0086381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86381D" w:rsidRDefault="0086381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03E1FF8" w14:textId="77777777" w:rsidR="0086381D" w:rsidRPr="00CF4BB6" w:rsidRDefault="0086381D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50F8A659" w14:textId="1AC7FDAB" w:rsidR="0086381D" w:rsidRDefault="0086381D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CF4BB6">
              <w:rPr>
                <w:spacing w:val="-2"/>
              </w:rPr>
              <w:t xml:space="preserve"> 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</w:tc>
      </w:tr>
      <w:tr w:rsidR="0086381D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86381D" w:rsidRDefault="0086381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86381D" w:rsidRDefault="0086381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99F3129" w:rsidR="0086381D" w:rsidRDefault="0086381D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21</w:t>
            </w:r>
            <w:r>
              <w:rPr>
                <w:b/>
              </w:rPr>
              <w:t xml:space="preserve">.01.2026 - 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.01.2026</w:t>
            </w:r>
          </w:p>
        </w:tc>
      </w:tr>
      <w:tr w:rsidR="0086381D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86381D" w:rsidRDefault="0086381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86381D" w:rsidRDefault="0086381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86381D" w:rsidRDefault="0086381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86381D" w:rsidRDefault="0086381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D36A8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D36A8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D36A8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D36A8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 xml:space="preserve">для </w:t>
            </w:r>
            <w:r>
              <w:t>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</w:t>
            </w:r>
            <w:r>
              <w:t xml:space="preserve">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</w:t>
            </w:r>
            <w:r>
              <w:t xml:space="preserve"> – 60 – 65 баллов;</w:t>
            </w:r>
          </w:p>
          <w:p w14:paraId="7FF4ED7F" w14:textId="77777777" w:rsidR="00F810B3" w:rsidRDefault="00D36A8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D36A8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9DF35E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88734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B4D8F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04D54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43C60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43EA9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02601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B1785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F187F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3E501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89AAC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A81595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8EBAE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513D8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1AFA3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A5E40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F8FCA4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9664D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F533F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28BF85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68A23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E6141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0B3"/>
    <w:rsid w:val="00093A87"/>
    <w:rsid w:val="000B7AE0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5900DE"/>
    <w:rsid w:val="005F0EE1"/>
    <w:rsid w:val="00601FD2"/>
    <w:rsid w:val="00633987"/>
    <w:rsid w:val="00706BFC"/>
    <w:rsid w:val="007214D8"/>
    <w:rsid w:val="007365BB"/>
    <w:rsid w:val="00844012"/>
    <w:rsid w:val="0086381D"/>
    <w:rsid w:val="008A725B"/>
    <w:rsid w:val="0093094C"/>
    <w:rsid w:val="0093198D"/>
    <w:rsid w:val="009F0F9E"/>
    <w:rsid w:val="009F5734"/>
    <w:rsid w:val="00A04F2F"/>
    <w:rsid w:val="00A32B12"/>
    <w:rsid w:val="00A5182B"/>
    <w:rsid w:val="00A94F78"/>
    <w:rsid w:val="00AE4A06"/>
    <w:rsid w:val="00B54697"/>
    <w:rsid w:val="00BA52D1"/>
    <w:rsid w:val="00BB4D21"/>
    <w:rsid w:val="00BD3DB6"/>
    <w:rsid w:val="00CB64E6"/>
    <w:rsid w:val="00CF4BB6"/>
    <w:rsid w:val="00D36A89"/>
    <w:rsid w:val="00D827A8"/>
    <w:rsid w:val="00DC5C2A"/>
    <w:rsid w:val="00E07DC9"/>
    <w:rsid w:val="00E5582E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36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A89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36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A89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206</cp:revision>
  <cp:lastPrinted>2026-01-21T03:41:00Z</cp:lastPrinted>
  <dcterms:created xsi:type="dcterms:W3CDTF">2025-08-12T06:40:00Z</dcterms:created>
  <dcterms:modified xsi:type="dcterms:W3CDTF">2026-01-21T03:44:00Z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