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5E345F1B"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0E2FF2">
        <w:rPr>
          <w:rFonts w:ascii="Times New Roman" w:eastAsia="Times New Roman" w:hAnsi="Times New Roman" w:cs="Times New Roman"/>
          <w:b/>
          <w:bCs/>
          <w:color w:val="000000"/>
          <w:sz w:val="24"/>
          <w:szCs w:val="24"/>
          <w:lang w:val="kk-KZ"/>
        </w:rPr>
        <w:t>Химия</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EB41B5"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EB41B5"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EB41B5"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6D18AC"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08C8C2F5" w:rsidR="000123BE" w:rsidRPr="0090334F" w:rsidRDefault="006D18AC"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Химия</w:t>
            </w:r>
            <w:r w:rsidR="00003C1D">
              <w:rPr>
                <w:rFonts w:ascii="Times New Roman" w:eastAsia="Times New Roman" w:hAnsi="Times New Roman" w:cs="Times New Roman"/>
                <w:b/>
                <w:bCs/>
                <w:color w:val="000000"/>
                <w:sz w:val="24"/>
                <w:szCs w:val="24"/>
                <w:lang w:val="kk-KZ"/>
              </w:rPr>
              <w:t xml:space="preserve"> мұғалімі</w:t>
            </w:r>
            <w:r w:rsidR="000123BE" w:rsidRPr="0090334F">
              <w:rPr>
                <w:rFonts w:ascii="Times New Roman" w:eastAsia="Times New Roman" w:hAnsi="Times New Roman" w:cs="Times New Roman"/>
                <w:b/>
                <w:bCs/>
                <w:color w:val="000000"/>
                <w:sz w:val="24"/>
                <w:szCs w:val="24"/>
                <w:lang w:val="kk-KZ"/>
              </w:rPr>
              <w:t xml:space="preserve"> мұғалімі, </w:t>
            </w:r>
            <w:r w:rsidR="000A54E1">
              <w:rPr>
                <w:rFonts w:ascii="Times New Roman" w:eastAsia="Times New Roman" w:hAnsi="Times New Roman" w:cs="Times New Roman"/>
                <w:b/>
                <w:bCs/>
                <w:color w:val="000000"/>
                <w:sz w:val="24"/>
                <w:szCs w:val="24"/>
                <w:lang w:val="kk-KZ"/>
              </w:rPr>
              <w:t>16</w:t>
            </w:r>
            <w:r>
              <w:rPr>
                <w:rFonts w:ascii="Times New Roman" w:eastAsia="Times New Roman" w:hAnsi="Times New Roman" w:cs="Times New Roman"/>
                <w:b/>
                <w:bCs/>
                <w:color w:val="000000"/>
                <w:sz w:val="24"/>
                <w:szCs w:val="24"/>
                <w:lang w:val="kk-KZ"/>
              </w:rPr>
              <w:t xml:space="preserve"> </w:t>
            </w:r>
            <w:r w:rsidR="000123BE" w:rsidRPr="0090334F">
              <w:rPr>
                <w:rFonts w:ascii="Times New Roman" w:eastAsia="Times New Roman" w:hAnsi="Times New Roman" w:cs="Times New Roman"/>
                <w:b/>
                <w:bCs/>
                <w:color w:val="000000"/>
                <w:sz w:val="24"/>
                <w:szCs w:val="24"/>
                <w:lang w:val="kk-KZ"/>
              </w:rPr>
              <w:t>сағат</w:t>
            </w:r>
            <w:r>
              <w:rPr>
                <w:rFonts w:ascii="Times New Roman" w:eastAsia="Times New Roman" w:hAnsi="Times New Roman" w:cs="Times New Roman"/>
                <w:b/>
                <w:bCs/>
                <w:color w:val="000000"/>
                <w:sz w:val="24"/>
                <w:szCs w:val="24"/>
                <w:lang w:val="kk-KZ"/>
              </w:rPr>
              <w:t>.</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D616510"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 xml:space="preserve">арнайы орта білім (min): </w:t>
            </w:r>
            <w:r w:rsidR="00EB41B5">
              <w:rPr>
                <w:rFonts w:ascii="Times New Roman" w:eastAsia="Times New Roman" w:hAnsi="Times New Roman" w:cs="Times New Roman"/>
                <w:bCs/>
                <w:color w:val="000000"/>
                <w:sz w:val="24"/>
                <w:szCs w:val="24"/>
                <w:lang w:val="kk-KZ"/>
              </w:rPr>
              <w:t>160000</w:t>
            </w:r>
            <w:r w:rsidRPr="00590112">
              <w:rPr>
                <w:rFonts w:ascii="Times New Roman" w:eastAsia="Times New Roman" w:hAnsi="Times New Roman" w:cs="Times New Roman"/>
                <w:bCs/>
                <w:color w:val="000000"/>
                <w:sz w:val="24"/>
                <w:szCs w:val="24"/>
                <w:lang w:val="kk-KZ"/>
              </w:rPr>
              <w:t xml:space="preserve"> теңге;</w:t>
            </w:r>
          </w:p>
          <w:p w14:paraId="4E942C62" w14:textId="6D0683DF"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w:t>
            </w:r>
            <w:r w:rsidR="00EB41B5">
              <w:rPr>
                <w:rFonts w:ascii="Times New Roman" w:eastAsia="Times New Roman" w:hAnsi="Times New Roman" w:cs="Times New Roman"/>
                <w:bCs/>
                <w:color w:val="000000"/>
                <w:sz w:val="24"/>
                <w:szCs w:val="24"/>
                <w:lang w:val="kk-KZ"/>
              </w:rPr>
              <w:t>8</w:t>
            </w:r>
            <w:r w:rsidRPr="00590112">
              <w:rPr>
                <w:rFonts w:ascii="Times New Roman" w:eastAsia="Times New Roman" w:hAnsi="Times New Roman" w:cs="Times New Roman"/>
                <w:bCs/>
                <w:color w:val="000000"/>
                <w:sz w:val="24"/>
                <w:szCs w:val="24"/>
                <w:lang w:val="kk-KZ"/>
              </w:rPr>
              <w:t>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7E77C52F" w:rsidR="000123BE" w:rsidRPr="0090334F" w:rsidRDefault="000A54E1"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20.07.2026 – 28.07.2026ж.</w:t>
            </w:r>
          </w:p>
        </w:tc>
      </w:tr>
      <w:tr w:rsidR="000123BE" w:rsidRPr="00EB41B5"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97EE77B"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6D18AC">
              <w:rPr>
                <w:rFonts w:ascii="Times New Roman" w:eastAsia="Times New Roman" w:hAnsi="Times New Roman" w:cs="Times New Roman"/>
                <w:bCs/>
                <w:color w:val="000000"/>
                <w:sz w:val="24"/>
                <w:szCs w:val="24"/>
                <w:lang w:val="kk-KZ"/>
              </w:rPr>
              <w:t>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53863822"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D610C2">
        <w:rPr>
          <w:rFonts w:ascii="Times New Roman" w:hAnsi="Times New Roman" w:cs="Times New Roman"/>
          <w:b/>
          <w:color w:val="000000"/>
          <w:sz w:val="24"/>
          <w:szCs w:val="24"/>
          <w:lang w:val="kk-KZ"/>
        </w:rPr>
        <w:t>химии</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EB41B5"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1FCF5248"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6D18AC">
              <w:rPr>
                <w:rFonts w:ascii="Times New Roman" w:eastAsia="Times New Roman" w:hAnsi="Times New Roman" w:cs="Times New Roman"/>
                <w:bCs/>
                <w:sz w:val="24"/>
                <w:szCs w:val="24"/>
                <w:lang w:val="kk-KZ"/>
              </w:rPr>
              <w:t>химии</w:t>
            </w:r>
            <w:r w:rsidRPr="0074228B">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1</w:t>
            </w:r>
            <w:r w:rsidR="000A54E1">
              <w:rPr>
                <w:rFonts w:ascii="Times New Roman" w:eastAsia="Times New Roman" w:hAnsi="Times New Roman" w:cs="Times New Roman"/>
                <w:bCs/>
                <w:sz w:val="24"/>
                <w:szCs w:val="24"/>
                <w:lang w:val="kk-KZ"/>
              </w:rPr>
              <w:t>6</w:t>
            </w:r>
            <w:r w:rsidR="00292246">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3E1EDE3B"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xml:space="preserve">: </w:t>
            </w:r>
            <w:r w:rsidR="00EB41B5">
              <w:rPr>
                <w:rFonts w:ascii="Times New Roman" w:eastAsia="Times New Roman" w:hAnsi="Times New Roman" w:cs="Times New Roman"/>
                <w:bCs/>
                <w:color w:val="000000"/>
                <w:sz w:val="24"/>
                <w:szCs w:val="24"/>
                <w:lang w:val="kk-KZ"/>
              </w:rPr>
              <w:t>160000</w:t>
            </w:r>
            <w:r w:rsidRPr="00590112">
              <w:rPr>
                <w:rFonts w:ascii="Times New Roman" w:eastAsia="Times New Roman" w:hAnsi="Times New Roman" w:cs="Times New Roman"/>
                <w:bCs/>
                <w:color w:val="000000"/>
                <w:sz w:val="24"/>
                <w:szCs w:val="24"/>
                <w:lang w:val="kk-KZ"/>
              </w:rPr>
              <w:t xml:space="preserve"> теңге;</w:t>
            </w:r>
          </w:p>
          <w:p w14:paraId="6B8847F0" w14:textId="5833D19E" w:rsidR="000123BE" w:rsidRPr="006D18AC"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w:t>
            </w:r>
            <w:r w:rsidR="00EB41B5">
              <w:rPr>
                <w:rFonts w:ascii="Times New Roman" w:eastAsia="Times New Roman" w:hAnsi="Times New Roman" w:cs="Times New Roman"/>
                <w:bCs/>
                <w:color w:val="000000"/>
                <w:sz w:val="24"/>
                <w:szCs w:val="24"/>
                <w:lang w:val="kk-KZ"/>
              </w:rPr>
              <w:t>180000</w:t>
            </w:r>
            <w:r w:rsidRPr="00590112">
              <w:rPr>
                <w:rFonts w:ascii="Times New Roman" w:eastAsia="Times New Roman" w:hAnsi="Times New Roman" w:cs="Times New Roman"/>
                <w:bCs/>
                <w:color w:val="000000"/>
                <w:sz w:val="24"/>
                <w:szCs w:val="24"/>
                <w:lang w:val="kk-KZ"/>
              </w:rPr>
              <w:t xml:space="preserve"> теңге</w:t>
            </w: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79D5F505" w:rsidR="000123BE" w:rsidRPr="0074228B" w:rsidRDefault="000A54E1"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20.07.2026 – 28.07.2026г.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068E31B5" w:rsidR="000123BE" w:rsidRPr="00003C1D" w:rsidRDefault="006D18AC"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lastRenderedPageBreak/>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EB41B5"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EB41B5"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EB41B5"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EB41B5"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EB41B5"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C1D"/>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54E1"/>
    <w:rsid w:val="000A7D5F"/>
    <w:rsid w:val="000B0E84"/>
    <w:rsid w:val="000C18A7"/>
    <w:rsid w:val="000C51F6"/>
    <w:rsid w:val="000D42B8"/>
    <w:rsid w:val="000D75B6"/>
    <w:rsid w:val="000D7E12"/>
    <w:rsid w:val="000E2FF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4691"/>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18AC"/>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B740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10C2"/>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1B5"/>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4223</Words>
  <Characters>24077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32</cp:revision>
  <cp:lastPrinted>2023-02-13T11:49:00Z</cp:lastPrinted>
  <dcterms:created xsi:type="dcterms:W3CDTF">2023-08-02T12:30:00Z</dcterms:created>
  <dcterms:modified xsi:type="dcterms:W3CDTF">2026-07-19T06:06:00Z</dcterms:modified>
</cp:coreProperties>
</file>