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3B278BA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0775CB">
        <w:rPr>
          <w:rFonts w:ascii="Arial" w:hAnsi="Arial" w:cs="Arial"/>
          <w:b/>
          <w:sz w:val="21"/>
          <w:szCs w:val="21"/>
          <w:lang w:val="kk-KZ"/>
        </w:rPr>
        <w:t>информа</w:t>
      </w:r>
      <w:bookmarkStart w:id="0" w:name="_GoBack"/>
      <w:bookmarkEnd w:id="0"/>
      <w:r w:rsidR="00330267">
        <w:rPr>
          <w:rFonts w:ascii="Arial" w:hAnsi="Arial" w:cs="Arial"/>
          <w:b/>
          <w:sz w:val="21"/>
          <w:szCs w:val="21"/>
          <w:lang w:val="kk-KZ"/>
        </w:rPr>
        <w:t>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8E411B">
        <w:rPr>
          <w:rFonts w:ascii="Arial" w:hAnsi="Arial" w:cs="Arial"/>
          <w:b/>
          <w:sz w:val="21"/>
          <w:szCs w:val="21"/>
          <w:lang w:val="kk-KZ"/>
        </w:rPr>
        <w:t>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0715A5B9" w:rsidR="00A40329" w:rsidRPr="005763A2" w:rsidRDefault="00D25052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1AB5FDEE" w:rsidR="00A40329" w:rsidRPr="00330267" w:rsidRDefault="00A74D26" w:rsidP="00DB289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DB2890">
              <w:rPr>
                <w:rFonts w:ascii="Arial" w:eastAsia="Times New Roman" w:hAnsi="Arial" w:cs="Arial"/>
                <w:bCs/>
                <w:sz w:val="21"/>
                <w:szCs w:val="21"/>
              </w:rPr>
              <w:t>инфор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матики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DB2890">
              <w:rPr>
                <w:rFonts w:ascii="Arial" w:eastAsia="Times New Roman" w:hAnsi="Arial" w:cs="Arial"/>
                <w:bCs/>
                <w:sz w:val="21"/>
                <w:szCs w:val="21"/>
              </w:rPr>
              <w:t>24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DB2890">
              <w:rPr>
                <w:rFonts w:ascii="Arial" w:eastAsia="Times New Roman" w:hAnsi="Arial" w:cs="Arial"/>
                <w:bCs/>
                <w:sz w:val="21"/>
                <w:szCs w:val="21"/>
              </w:rPr>
              <w:t>часа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318B58B0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DB289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4479119D" w:rsidR="00A40329" w:rsidRPr="00260194" w:rsidRDefault="00A40329" w:rsidP="00271C6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DB2890">
              <w:rPr>
                <w:rFonts w:ascii="Arial" w:eastAsia="Times New Roman" w:hAnsi="Arial" w:cs="Arial"/>
                <w:bCs/>
                <w:sz w:val="21"/>
                <w:szCs w:val="21"/>
              </w:rPr>
              <w:t>18</w:t>
            </w:r>
            <w:r w:rsidR="00271C64" w:rsidRPr="00DB2890">
              <w:rPr>
                <w:rFonts w:ascii="Arial" w:eastAsia="Times New Roman" w:hAnsi="Arial" w:cs="Arial"/>
                <w:bCs/>
                <w:sz w:val="21"/>
                <w:szCs w:val="21"/>
              </w:rPr>
              <w:t>9900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5CE480C8" w:rsidR="00BF0E89" w:rsidRPr="003143FA" w:rsidRDefault="00DB2890" w:rsidP="00DB289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271C6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271C6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271C64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 w:rsidR="00271C64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  <w:r w:rsidR="00271C6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271C6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271C64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 w:rsidR="00271C6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271C64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6</w:t>
            </w:r>
            <w:r w:rsidR="00271C6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5CB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5B67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1C6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6356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5444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D5C8E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11B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25052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1B4D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890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02F5-2F93-4DA9-B789-E5F0FA89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54</cp:revision>
  <cp:lastPrinted>2025-02-11T13:09:00Z</cp:lastPrinted>
  <dcterms:created xsi:type="dcterms:W3CDTF">2023-08-10T06:52:00Z</dcterms:created>
  <dcterms:modified xsi:type="dcterms:W3CDTF">2026-02-16T06:38:00Z</dcterms:modified>
</cp:coreProperties>
</file>